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573A6" w14:textId="7F845181" w:rsidR="0056271E" w:rsidRDefault="005627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SEMINARIUM LICENCJACKIE – LITERATUROZNAWSTWO</w:t>
      </w:r>
    </w:p>
    <w:p w14:paraId="7D79563C" w14:textId="5F94A54F" w:rsidR="0056271E" w:rsidRDefault="005627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Studia pierwszego stopnia, stacjonarne</w:t>
      </w:r>
    </w:p>
    <w:p w14:paraId="031EAD08" w14:textId="43FAB8D7" w:rsidR="0056271E" w:rsidRDefault="005627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Rok akademicki 2026/2027</w:t>
      </w:r>
    </w:p>
    <w:p w14:paraId="6B16AE1D" w14:textId="546D24E7" w:rsidR="0056271E" w:rsidRDefault="005627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Osoba prowadząca: dr Michał Urbanowicz</w:t>
      </w:r>
    </w:p>
    <w:p w14:paraId="40AD9F45" w14:textId="77777777" w:rsidR="0056271E" w:rsidRDefault="0056271E">
      <w:pPr>
        <w:rPr>
          <w:rFonts w:ascii="Times New Roman" w:hAnsi="Times New Roman" w:cs="Times New Roman"/>
        </w:rPr>
      </w:pPr>
    </w:p>
    <w:p w14:paraId="7A17EC78" w14:textId="4952AF34" w:rsidR="0056271E" w:rsidRDefault="0056271E" w:rsidP="0056271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TAJEMNICA I SUSPENS: KRYMINAŁY W </w:t>
      </w:r>
      <w:r w:rsidR="005D0F4E">
        <w:rPr>
          <w:rFonts w:ascii="Times New Roman" w:hAnsi="Times New Roman" w:cs="Times New Roman"/>
          <w:b/>
          <w:bCs/>
        </w:rPr>
        <w:t>TRANSMEDIALNYM UJĘCIU NARRATOLOGICZNYM</w:t>
      </w:r>
    </w:p>
    <w:p w14:paraId="159E1022" w14:textId="77777777" w:rsidR="00AC763B" w:rsidRDefault="00AC763B" w:rsidP="0056271E">
      <w:pPr>
        <w:jc w:val="center"/>
        <w:rPr>
          <w:rFonts w:ascii="Times New Roman" w:hAnsi="Times New Roman" w:cs="Times New Roman"/>
        </w:rPr>
      </w:pPr>
    </w:p>
    <w:p w14:paraId="42AA69BF" w14:textId="53C7CF03" w:rsidR="00AC763B" w:rsidRPr="00AC763B" w:rsidRDefault="00AC763B" w:rsidP="00AC763B">
      <w:pPr>
        <w:jc w:val="both"/>
        <w:rPr>
          <w:rFonts w:ascii="Times New Roman" w:hAnsi="Times New Roman" w:cs="Times New Roman"/>
        </w:rPr>
      </w:pPr>
      <w:r w:rsidRPr="00AC763B">
        <w:rPr>
          <w:rFonts w:ascii="Times New Roman" w:hAnsi="Times New Roman" w:cs="Times New Roman"/>
        </w:rPr>
        <w:t xml:space="preserve">Seminarium licencjackie poświęcone jest badaniu motywów tajemnicy i suspensu w literaturze kryminalnej, stanowiącej jeden z najpopularniejszych i najbardziej różnorodnych gatunków współczesnej kultury. W przyjętym </w:t>
      </w:r>
      <w:proofErr w:type="spellStart"/>
      <w:r w:rsidRPr="00AC763B">
        <w:rPr>
          <w:rFonts w:ascii="Times New Roman" w:hAnsi="Times New Roman" w:cs="Times New Roman"/>
        </w:rPr>
        <w:t>transmedialnym</w:t>
      </w:r>
      <w:proofErr w:type="spellEnd"/>
      <w:r w:rsidRPr="00AC763B">
        <w:rPr>
          <w:rFonts w:ascii="Times New Roman" w:hAnsi="Times New Roman" w:cs="Times New Roman"/>
        </w:rPr>
        <w:t xml:space="preserve"> ujęciu </w:t>
      </w:r>
      <w:proofErr w:type="spellStart"/>
      <w:r w:rsidRPr="00AC763B">
        <w:rPr>
          <w:rFonts w:ascii="Times New Roman" w:hAnsi="Times New Roman" w:cs="Times New Roman"/>
        </w:rPr>
        <w:t>narratologicznym</w:t>
      </w:r>
      <w:proofErr w:type="spellEnd"/>
      <w:r w:rsidRPr="00AC763B">
        <w:rPr>
          <w:rFonts w:ascii="Times New Roman" w:hAnsi="Times New Roman" w:cs="Times New Roman"/>
        </w:rPr>
        <w:t xml:space="preserve"> gatunek definiowany jest przede wszystkim przez strukturę fabuły, co pozwala odwoływać się zarówno do literaturoznawczych, jak i filmoznawczych opracowań naukowych, w tym koncepcji inspirowanych refleksjami Alfreda Hitchcocka. Uczestnicy seminarium zapoznają się z</w:t>
      </w:r>
      <w:r>
        <w:rPr>
          <w:rFonts w:ascii="Times New Roman" w:hAnsi="Times New Roman" w:cs="Times New Roman"/>
        </w:rPr>
        <w:t> </w:t>
      </w:r>
      <w:r w:rsidRPr="00AC763B">
        <w:rPr>
          <w:rFonts w:ascii="Times New Roman" w:hAnsi="Times New Roman" w:cs="Times New Roman"/>
        </w:rPr>
        <w:t xml:space="preserve">różnymi podgatunkami thrillera i </w:t>
      </w:r>
      <w:proofErr w:type="spellStart"/>
      <w:r w:rsidRPr="00AC763B">
        <w:rPr>
          <w:rFonts w:ascii="Times New Roman" w:hAnsi="Times New Roman" w:cs="Times New Roman"/>
        </w:rPr>
        <w:t>mystery</w:t>
      </w:r>
      <w:proofErr w:type="spellEnd"/>
      <w:r w:rsidR="005B3ECF">
        <w:rPr>
          <w:rFonts w:ascii="Times New Roman" w:hAnsi="Times New Roman" w:cs="Times New Roman"/>
        </w:rPr>
        <w:t xml:space="preserve"> (</w:t>
      </w:r>
      <w:r w:rsidRPr="00AC763B">
        <w:rPr>
          <w:rFonts w:ascii="Times New Roman" w:hAnsi="Times New Roman" w:cs="Times New Roman"/>
        </w:rPr>
        <w:t>rozumianymi odpowiednio jako narracje, w</w:t>
      </w:r>
      <w:r w:rsidR="006D4235">
        <w:rPr>
          <w:rFonts w:ascii="Times New Roman" w:hAnsi="Times New Roman" w:cs="Times New Roman"/>
        </w:rPr>
        <w:t> </w:t>
      </w:r>
      <w:r w:rsidRPr="00AC763B">
        <w:rPr>
          <w:rFonts w:ascii="Times New Roman" w:hAnsi="Times New Roman" w:cs="Times New Roman"/>
        </w:rPr>
        <w:t>których dominującą rolę odgrywa suspens lub tajemnica</w:t>
      </w:r>
      <w:r w:rsidR="005B3ECF">
        <w:rPr>
          <w:rFonts w:ascii="Times New Roman" w:hAnsi="Times New Roman" w:cs="Times New Roman"/>
        </w:rPr>
        <w:t>)</w:t>
      </w:r>
      <w:r w:rsidRPr="00AC763B">
        <w:rPr>
          <w:rFonts w:ascii="Times New Roman" w:hAnsi="Times New Roman" w:cs="Times New Roman"/>
        </w:rPr>
        <w:t xml:space="preserve"> oraz nauczą się rozpoznawać i</w:t>
      </w:r>
      <w:r>
        <w:rPr>
          <w:rFonts w:ascii="Times New Roman" w:hAnsi="Times New Roman" w:cs="Times New Roman"/>
        </w:rPr>
        <w:t> </w:t>
      </w:r>
      <w:r w:rsidRPr="00AC763B">
        <w:rPr>
          <w:rFonts w:ascii="Times New Roman" w:hAnsi="Times New Roman" w:cs="Times New Roman"/>
        </w:rPr>
        <w:t>analizować charakterystyczne dla nich rozwiązania fabularne.</w:t>
      </w:r>
    </w:p>
    <w:p w14:paraId="322B291C" w14:textId="60729F67" w:rsidR="00AC763B" w:rsidRPr="00AC763B" w:rsidRDefault="00AC763B" w:rsidP="00AC763B">
      <w:pPr>
        <w:jc w:val="both"/>
        <w:rPr>
          <w:rFonts w:ascii="Times New Roman" w:hAnsi="Times New Roman" w:cs="Times New Roman"/>
        </w:rPr>
      </w:pPr>
      <w:r w:rsidRPr="00AC763B">
        <w:rPr>
          <w:rFonts w:ascii="Times New Roman" w:hAnsi="Times New Roman" w:cs="Times New Roman"/>
        </w:rPr>
        <w:t xml:space="preserve">Typowa praca licencjacka będzie składać się z dwóch rozdziałów. Rozdział pierwszy zostanie poświęcony omówieniu i analizie literatury przedmiotu, stanowiąc teoretyczne podstawy pracy. W rozdziale drugim </w:t>
      </w:r>
      <w:r>
        <w:rPr>
          <w:rFonts w:ascii="Times New Roman" w:hAnsi="Times New Roman" w:cs="Times New Roman"/>
        </w:rPr>
        <w:t>S</w:t>
      </w:r>
      <w:r w:rsidRPr="00AC763B">
        <w:rPr>
          <w:rFonts w:ascii="Times New Roman" w:hAnsi="Times New Roman" w:cs="Times New Roman"/>
        </w:rPr>
        <w:t>tudent</w:t>
      </w:r>
      <w:r>
        <w:rPr>
          <w:rFonts w:ascii="Times New Roman" w:hAnsi="Times New Roman" w:cs="Times New Roman"/>
        </w:rPr>
        <w:t>/ka</w:t>
      </w:r>
      <w:r w:rsidRPr="00AC763B">
        <w:rPr>
          <w:rFonts w:ascii="Times New Roman" w:hAnsi="Times New Roman" w:cs="Times New Roman"/>
        </w:rPr>
        <w:t xml:space="preserve"> przeprowadzi analizę fabuły wybranej powieści kryminalnej pod kątem sposobów kreowania tajemnicy i suspensu, a następnie podejmie próbę przyporządkowania utworu do określonego podgatunku thrillera lub </w:t>
      </w:r>
      <w:proofErr w:type="spellStart"/>
      <w:r w:rsidRPr="00AC763B">
        <w:rPr>
          <w:rFonts w:ascii="Times New Roman" w:hAnsi="Times New Roman" w:cs="Times New Roman"/>
        </w:rPr>
        <w:t>mystery</w:t>
      </w:r>
      <w:proofErr w:type="spellEnd"/>
      <w:r w:rsidRPr="00AC763B">
        <w:rPr>
          <w:rFonts w:ascii="Times New Roman" w:hAnsi="Times New Roman" w:cs="Times New Roman"/>
        </w:rPr>
        <w:t>, uzasadniając przyjętą klasyfikację.</w:t>
      </w:r>
    </w:p>
    <w:sectPr w:rsidR="00AC763B" w:rsidRPr="00AC7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71E"/>
    <w:rsid w:val="002972B2"/>
    <w:rsid w:val="0056271E"/>
    <w:rsid w:val="005B3ECF"/>
    <w:rsid w:val="005D0F4E"/>
    <w:rsid w:val="006D4235"/>
    <w:rsid w:val="00AC763B"/>
    <w:rsid w:val="00BB3447"/>
    <w:rsid w:val="00C3715B"/>
    <w:rsid w:val="00E3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6AFB1"/>
  <w15:chartTrackingRefBased/>
  <w15:docId w15:val="{282A028C-B0C1-4BAA-BCC8-7E7F0BCBD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62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2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27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2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27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27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27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27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27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27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27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27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27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27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27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27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27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27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27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2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2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2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2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27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27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27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27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27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27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Urbanowicz</dc:creator>
  <cp:keywords/>
  <dc:description/>
  <cp:lastModifiedBy>Ewa Kryńska</cp:lastModifiedBy>
  <cp:revision>2</cp:revision>
  <dcterms:created xsi:type="dcterms:W3CDTF">2026-09-21T08:16:00Z</dcterms:created>
  <dcterms:modified xsi:type="dcterms:W3CDTF">2026-09-21T08:16:00Z</dcterms:modified>
</cp:coreProperties>
</file>