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18AAA1" w14:textId="77777777" w:rsidR="00E028C3" w:rsidRDefault="00000000">
      <w:pPr>
        <w:pStyle w:val="Standard"/>
        <w:widowControl/>
        <w:spacing w:after="140" w:line="276" w:lineRule="auto"/>
        <w:jc w:val="center"/>
        <w:rPr>
          <w:rFonts w:ascii="Times New Roman" w:hAnsi="Times New Roman"/>
        </w:rPr>
      </w:pPr>
      <w:r>
        <w:rPr>
          <w:rFonts w:ascii="Times New Roman" w:eastAsia="TimesNewRomanPS-BoldMT" w:hAnsi="Times New Roman" w:cs="TimesNewRomanPS-BoldMT"/>
          <w:b/>
          <w:bCs/>
          <w:color w:val="000000"/>
          <w:u w:val="single"/>
        </w:rPr>
        <w:t>«(E)Migrations. La mémoire culturelle. Identité culturelle </w:t>
      </w:r>
      <w:r>
        <w:rPr>
          <w:rFonts w:ascii="Times New Roman" w:eastAsia="TimesNewRomanPSMT" w:hAnsi="Times New Roman" w:cs="TimesNewRomanPSMT"/>
          <w:color w:val="000000"/>
        </w:rPr>
        <w:t>»</w:t>
      </w:r>
    </w:p>
    <w:p w14:paraId="7756B222" w14:textId="77777777" w:rsidR="00E028C3" w:rsidRDefault="00E028C3">
      <w:pPr>
        <w:pStyle w:val="Standard"/>
        <w:widowControl/>
        <w:spacing w:after="140" w:line="276" w:lineRule="auto"/>
        <w:jc w:val="center"/>
        <w:rPr>
          <w:rFonts w:ascii="Times New Roman" w:hAnsi="Times New Roman"/>
        </w:rPr>
      </w:pPr>
    </w:p>
    <w:p w14:paraId="53FCC5C6" w14:textId="77777777" w:rsidR="00E028C3" w:rsidRDefault="00000000">
      <w:pPr>
        <w:pStyle w:val="Standard"/>
        <w:widowControl/>
        <w:spacing w:after="140" w:line="360" w:lineRule="auto"/>
        <w:jc w:val="both"/>
        <w:rPr>
          <w:rFonts w:ascii="Times New Roman" w:hAnsi="Times New Roman"/>
        </w:rPr>
      </w:pPr>
      <w:r>
        <w:rPr>
          <w:rFonts w:ascii="Times New Roman" w:eastAsia="TimesNewRomanPSMT" w:hAnsi="Times New Roman" w:cs="TimesNewRomanPSMT"/>
          <w:color w:val="000000"/>
        </w:rPr>
        <w:t>  Ce Colloque International</w:t>
      </w:r>
      <w:r>
        <w:rPr>
          <w:rFonts w:ascii="Times New Roman" w:eastAsia="TimesNewRomanPSMT" w:hAnsi="Times New Roman" w:cs="TimesNewRomanPSMT"/>
          <w:color w:val="000000"/>
          <w:shd w:val="clear" w:color="auto" w:fill="FFFFFF"/>
        </w:rPr>
        <w:t xml:space="preserve"> avait pour projet d’étudier l’émigration russe, et plus particulièrement l’émigration dite de la “première vague”, qui survient juste après la révolution bolchévique de 1917. La première journée du colloque, organisée en ligne par l’Université Jean Moulin-Lyon III et l’Université d’Olsztyn le 23 octobre 2023. Les conférences ont réunis des intervenants de nombreux pays, comme la France, la Suisse, l’Italie, Pologne et se sont déroulées en russe et en polonais. Ce compte rendu ne concerne que les interventions en langue russe, qui ont été synthétisées et traduites en français.</w:t>
      </w:r>
    </w:p>
    <w:p w14:paraId="233C2DD9" w14:textId="77777777" w:rsidR="00E028C3" w:rsidRDefault="00000000">
      <w:pPr>
        <w:pStyle w:val="Standard"/>
        <w:widowControl/>
        <w:spacing w:after="140" w:line="360" w:lineRule="auto"/>
        <w:jc w:val="both"/>
        <w:rPr>
          <w:rFonts w:ascii="Times New Roman" w:hAnsi="Times New Roman"/>
        </w:rPr>
      </w:pPr>
      <w:r>
        <w:rPr>
          <w:rFonts w:ascii="Times New Roman" w:eastAsia="TimesNewRomanPS-BoldMT" w:hAnsi="Times New Roman" w:cs="TimesNewRomanPS-BoldMT"/>
          <w:b/>
          <w:bCs/>
          <w:color w:val="000000"/>
          <w:shd w:val="clear" w:color="auto" w:fill="FFFFFF"/>
        </w:rPr>
        <w:t>Svetlana Garziano</w:t>
      </w:r>
      <w:r>
        <w:rPr>
          <w:rFonts w:ascii="Times New Roman" w:eastAsia="TimesNewRomanPSMT" w:hAnsi="Times New Roman" w:cs="TimesNewRomanPSMT"/>
          <w:color w:val="000000"/>
          <w:shd w:val="clear" w:color="auto" w:fill="FFFFFF"/>
        </w:rPr>
        <w:t xml:space="preserve">, première modératrice du colloque, commence par introduire </w:t>
      </w:r>
      <w:r>
        <w:rPr>
          <w:rFonts w:ascii="Times New Roman" w:eastAsia="TimesNewRomanPS-BoldMT" w:hAnsi="Times New Roman" w:cs="TimesNewRomanPS-BoldMT"/>
          <w:b/>
          <w:bCs/>
          <w:color w:val="000000"/>
          <w:shd w:val="clear" w:color="auto" w:fill="FFFFFF"/>
        </w:rPr>
        <w:t>Georges Nivat</w:t>
      </w:r>
      <w:r>
        <w:rPr>
          <w:rFonts w:ascii="Times New Roman" w:eastAsia="TimesNewRomanPSMT" w:hAnsi="Times New Roman" w:cs="TimesNewRomanPSMT"/>
          <w:color w:val="000000"/>
          <w:shd w:val="clear" w:color="auto" w:fill="FFFFFF"/>
        </w:rPr>
        <w:t>, Professeur émérite de l’Université de Genève. Son propos sert d’introduction à la journée du colloque. Il insiste sur la nécessité de penser l’(é)migration dans son actualité, puisqu’elle touche à de nombreuses populations à travers le monde. En se basant sur des exemples littéraires russes, sa propre expérience et ses rencontres, Georges Nivat tente d’illustrer toute la complexité de la situation d’un (é)migrant. De son point de vue, au cours de sa vie un émigrant se pose deux questions inévitables : celle du retour dans son pays d’origine avec plusieurs options (revenir, revenir involontairement, ne jamais revenir) et interroge sa situation (liberté ou exil). La présentation se termine par une citation de la Bible juive : “Izgnanie - moj dom” (L’exil est ma maison), mettant l’accent sur les difficultés auxquelles un émigrant russe pouvait et peut encore faire face.</w:t>
      </w:r>
    </w:p>
    <w:p w14:paraId="56B7AD68" w14:textId="77777777" w:rsidR="00E028C3" w:rsidRDefault="00000000">
      <w:pPr>
        <w:pStyle w:val="Standard"/>
        <w:widowControl/>
        <w:spacing w:after="140" w:line="360" w:lineRule="auto"/>
        <w:jc w:val="both"/>
        <w:rPr>
          <w:rFonts w:ascii="Times New Roman" w:hAnsi="Times New Roman"/>
        </w:rPr>
      </w:pPr>
      <w:r>
        <w:rPr>
          <w:rFonts w:ascii="Times New Roman" w:eastAsia="TimesNewRomanPSMT" w:hAnsi="Times New Roman" w:cs="TimesNewRomanPSMT"/>
          <w:color w:val="000000"/>
          <w:shd w:val="clear" w:color="auto" w:fill="FFFFFF"/>
        </w:rPr>
        <w:t xml:space="preserve">La deuxième intervention est prise en charge par la professeure polonaise de l’Université de Lublin, </w:t>
      </w:r>
      <w:r>
        <w:rPr>
          <w:rFonts w:ascii="Times New Roman" w:eastAsia="TimesNewRomanPS-BoldMT" w:hAnsi="Times New Roman" w:cs="TimesNewRomanPS-BoldMT"/>
          <w:b/>
          <w:bCs/>
          <w:color w:val="000000"/>
          <w:shd w:val="clear" w:color="auto" w:fill="FFFFFF"/>
        </w:rPr>
        <w:t>Maria Cymborska-Leboda</w:t>
      </w:r>
      <w:r>
        <w:rPr>
          <w:rFonts w:ascii="Times New Roman" w:eastAsia="TimesNewRomanPSMT" w:hAnsi="Times New Roman" w:cs="TimesNewRomanPSMT"/>
          <w:color w:val="000000"/>
          <w:shd w:val="clear" w:color="auto" w:fill="FFFFFF"/>
        </w:rPr>
        <w:t xml:space="preserve">, qui présente un exposé sur Vjačeslav Ivanov, poète symboliste de l’Age d’argent russe. </w:t>
      </w:r>
      <w:r>
        <w:rPr>
          <w:rFonts w:ascii="Times New Roman" w:eastAsia="TimesNewRomanPSMT" w:hAnsi="Times New Roman" w:cs="TimesNewRomanPSMT"/>
          <w:color w:val="000000"/>
        </w:rPr>
        <w:t xml:space="preserve">Elle entend y réfléchir à la réception des œuvres du poète auprès du public dans l’émigration, son positionnement face à la Russie bolchévique et sa conception du monde en s’appuyant sur les correspondances entre V. Ivanov et d’illustres poètes, philosophes, éditeurs occidentaux et russes. C’est l’analyse des lettres N°9, 10 et 11 entre Ivanov et Mixail Veršincov, qu’apportent des pistes à cette réflexion. Plusieurs grandes idées et thématiques traduisant la pensée et l’état d’esprit du poète y sont abordées, à savoir, d’une part, le cataclysme des civilisations, la révolution, les difficiles conditions d’existence, d’autre part, l’amour du Christ, la recherche de la Vérité ultime [истина,; istina] et la fidélité à la liberté de son esprit.                                                                   En ce qui concerne la </w:t>
      </w:r>
      <w:r>
        <w:rPr>
          <w:rFonts w:ascii="Times New Roman" w:eastAsia="TimesNewRomanPS-ItalicMT" w:hAnsi="Times New Roman" w:cs="TimesNewRomanPS-ItalicMT"/>
          <w:i/>
          <w:iCs/>
          <w:color w:val="000000"/>
        </w:rPr>
        <w:t>réception</w:t>
      </w:r>
      <w:r>
        <w:rPr>
          <w:rFonts w:ascii="Times New Roman" w:eastAsia="TimesNewRomanPSMT" w:hAnsi="Times New Roman" w:cs="TimesNewRomanPSMT"/>
          <w:color w:val="000000"/>
        </w:rPr>
        <w:t>, V.Ivanov a été traduit en langue française par M. Duboss en 1939. Certains philosophes français, comme Gabriel Marcel, ont apprécié l’œuvre d’Ivanov et sont même devenus ses amis. En Russie bolchévique, c’est Mixail Kuz’min qui semble apprécier l’œuvre d’Ivanov : “ культурное событие (kul’turnoe sobytie)” (un événement culturel), " нелязя молчать (nel’zja molchat’ - on ne peut pas garder le silence), “настоящая минута (nastojaščaja minuta)”  -</w:t>
      </w:r>
      <w:r>
        <w:rPr>
          <w:rFonts w:ascii="Times New Roman" w:eastAsia="TimesNewRomanPSMT" w:hAnsi="Times New Roman" w:cs="TimesNewRomanPSMT"/>
          <w:color w:val="000000"/>
        </w:rPr>
        <w:lastRenderedPageBreak/>
        <w:t xml:space="preserve">l’instant présent), ainsi que Aleksandr Voronskij : “жгучий и вопющий вопрос энохи (žgučij i vopijuščij vopros èpoxi”) - une question brûlante et révoltante de l’époque. </w:t>
      </w:r>
      <w:r>
        <w:rPr>
          <w:rFonts w:ascii="Times New Roman" w:eastAsia="TimesNewRomanPSMT" w:hAnsi="Times New Roman" w:cs="TimesNewRomanPSMT"/>
          <w:color w:val="000000"/>
          <w:shd w:val="clear" w:color="auto" w:fill="FFFFFF"/>
        </w:rPr>
        <w:t xml:space="preserve"> La thématique de la culture en déclin et en décadence est largement soulignée par la critique russe, mais la conception du monde propre à Ivanov est occultée. Il en résulte que c’est en Occident, chez ses intellectuels et certains philosophes russes de l’émigration, que le poète est entendu et compris, notamment par Fedor Solov’ev. La question de la mémoire apparaît importante elle aussi, car dans la Russie bolchévique, où subsistent les problèmes de presse et d'édition, il est très difficile pour un poète de se faire publier. Les générations sont devenues aveugles et sourdes, ce qui rend difficile non seulement la réception, mais plus largement l’héritage culturel.  Les correspondances d’Ivanov rendent également compte de sa position envers </w:t>
      </w:r>
      <w:r>
        <w:rPr>
          <w:rFonts w:ascii="Times New Roman" w:eastAsia="TimesNewRomanPS-ItalicMT" w:hAnsi="Times New Roman" w:cs="TimesNewRomanPS-ItalicMT"/>
          <w:i/>
          <w:iCs/>
          <w:color w:val="000000"/>
          <w:shd w:val="clear" w:color="auto" w:fill="FFFFFF"/>
        </w:rPr>
        <w:t>la révolution</w:t>
      </w:r>
      <w:r>
        <w:rPr>
          <w:rFonts w:ascii="Times New Roman" w:eastAsia="TimesNewRomanPSMT" w:hAnsi="Times New Roman" w:cs="TimesNewRomanPSMT"/>
          <w:color w:val="000000"/>
          <w:shd w:val="clear" w:color="auto" w:fill="FFFFFF"/>
        </w:rPr>
        <w:t xml:space="preserve"> </w:t>
      </w:r>
      <w:r>
        <w:rPr>
          <w:rFonts w:ascii="Times New Roman" w:eastAsia="TimesNewRomanPS-ItalicMT" w:hAnsi="Times New Roman" w:cs="TimesNewRomanPS-ItalicMT"/>
          <w:i/>
          <w:iCs/>
          <w:color w:val="000000"/>
          <w:shd w:val="clear" w:color="auto" w:fill="FFFFFF"/>
        </w:rPr>
        <w:t>bolchévique</w:t>
      </w:r>
      <w:r>
        <w:rPr>
          <w:rFonts w:ascii="Times New Roman" w:eastAsia="TimesNewRomanPSMT" w:hAnsi="Times New Roman" w:cs="TimesNewRomanPSMT"/>
          <w:color w:val="000000"/>
          <w:shd w:val="clear" w:color="auto" w:fill="FFFFFF"/>
        </w:rPr>
        <w:t xml:space="preserve">. Dans les lettres adressées au philologue Ernst Robert Curtius, Ivanov se dit favorable à la chrétienté et au positionnement humaniste de la Russie, s’opposant à l’athéisme et l’eurasisme des Bolchéviques. Des idées semblables se retrouvent dans sa correspondance avec le philologue italien Alessandro Pellegrini.                                                                                                                                               En ce qui concerne </w:t>
      </w:r>
      <w:r>
        <w:rPr>
          <w:rFonts w:ascii="Times New Roman" w:eastAsia="TimesNewRomanPS-ItalicMT" w:hAnsi="Times New Roman" w:cs="TimesNewRomanPS-ItalicMT"/>
          <w:i/>
          <w:iCs/>
          <w:color w:val="000000"/>
          <w:shd w:val="clear" w:color="auto" w:fill="FFFFFF"/>
        </w:rPr>
        <w:t>la conception du monde</w:t>
      </w:r>
      <w:r>
        <w:rPr>
          <w:rFonts w:ascii="Times New Roman" w:eastAsia="TimesNewRomanPSMT" w:hAnsi="Times New Roman" w:cs="TimesNewRomanPSMT"/>
          <w:color w:val="000000"/>
          <w:shd w:val="clear" w:color="auto" w:fill="FFFFFF"/>
        </w:rPr>
        <w:t xml:space="preserve"> d’Ivanov, ce dernier apprécie les réflexions de F.</w:t>
      </w:r>
      <w:r>
        <w:rPr>
          <w:rFonts w:ascii="Times New Roman" w:eastAsia="TimesNewRomanPSMT" w:hAnsi="Times New Roman" w:cs="TimesNewRomanPSMT"/>
          <w:color w:val="FF0000"/>
          <w:shd w:val="clear" w:color="auto" w:fill="FFFFFF"/>
        </w:rPr>
        <w:t xml:space="preserve"> </w:t>
      </w:r>
      <w:r>
        <w:rPr>
          <w:rFonts w:ascii="Times New Roman" w:eastAsia="TimesNewRomanPSMT" w:hAnsi="Times New Roman" w:cs="TimesNewRomanPSMT"/>
          <w:color w:val="000000"/>
          <w:shd w:val="clear" w:color="auto" w:fill="FFFFFF"/>
        </w:rPr>
        <w:t xml:space="preserve">Nietzsche, qui refuse l’optimisme anthropologique, selon lequel l’être humain progresse vers la liberté. Selon le poète, l’humanité se définit par trois valeurs fondamentales : la Vérité, la Liberté et l’Amour. </w:t>
      </w:r>
      <w:r>
        <w:rPr>
          <w:rFonts w:ascii="Times New Roman" w:eastAsia="TimesNewRomanPSMT" w:hAnsi="Times New Roman" w:cs="TimesNewRomanPSMT"/>
          <w:color w:val="000000"/>
          <w:shd w:val="clear" w:color="auto" w:fill="FFFFFF"/>
        </w:rPr>
        <w:br/>
        <w:t xml:space="preserve">Sa conception du monde provient également de sa propre interprétation du mythe d’Œdipe. L’aveuglement de ce dernier est la définition de l’existence même de l’homme, qui par sa foi en Dieu pourra connaître la Vérité en se munissant de "courage" (mujestvo).                                     Dans la lettre du 10 mars 1927, Ivanov écrit à son fils au sujet du schisme bolchevique. Son positionnement envers la révolution bolchevique se recoupe avec sa conception du monde. En se séparant de l’Eglise Universelle, établie par le Christ,  la Russie s’oppose non seulement aux principes de la Vérité et de la foi en Christ, mais implicitement l’homme russe n’est plus relié à Dieu. </w:t>
      </w:r>
      <w:r>
        <w:rPr>
          <w:rFonts w:ascii="Times New Roman" w:eastAsia="TimesNewRomanPSMT" w:hAnsi="Times New Roman" w:cs="TimesNewRomanPSMT"/>
          <w:color w:val="000000"/>
        </w:rPr>
        <w:t>Le poème du 6 janvier 1944 “ Zvezda venčavšaja Eden …” ( L’Etoile couronnant l’Eden…) traduit cette idée d’une civilisation sans Dieu, tout en reflétant toute la profondeur de l’âme du poète, de sa poésie et de son humanisme.</w:t>
      </w:r>
    </w:p>
    <w:p w14:paraId="5F8444DF" w14:textId="77777777" w:rsidR="00E028C3" w:rsidRDefault="00E028C3">
      <w:pPr>
        <w:pStyle w:val="Standard"/>
        <w:widowControl/>
        <w:spacing w:after="140" w:line="360" w:lineRule="auto"/>
        <w:jc w:val="both"/>
        <w:rPr>
          <w:rFonts w:ascii="Times New Roman" w:hAnsi="Times New Roman"/>
        </w:rPr>
      </w:pPr>
    </w:p>
    <w:p w14:paraId="705313E6" w14:textId="77777777" w:rsidR="00E028C3" w:rsidRDefault="00000000">
      <w:pPr>
        <w:pStyle w:val="Standard"/>
        <w:widowControl/>
        <w:spacing w:after="140" w:line="360" w:lineRule="auto"/>
        <w:rPr>
          <w:rFonts w:ascii="Times New Roman" w:hAnsi="Times New Roman"/>
        </w:rPr>
      </w:pPr>
      <w:r>
        <w:rPr>
          <w:rFonts w:ascii="Times New Roman" w:eastAsia="TimesNewRomanPS-BoldMT" w:hAnsi="Times New Roman" w:cs="TimesNewRomanPS-BoldMT"/>
          <w:b/>
          <w:bCs/>
          <w:color w:val="000000"/>
        </w:rPr>
        <w:t>Dmitrii Segal</w:t>
      </w:r>
      <w:r>
        <w:rPr>
          <w:rFonts w:ascii="Times New Roman" w:eastAsia="TimesNewRomanPSMT" w:hAnsi="Times New Roman" w:cs="TimesNewRomanPSMT"/>
          <w:color w:val="000000"/>
        </w:rPr>
        <w:t xml:space="preserve">, professeur à l’université hébraïque de Jérusalem clôture la matinée d’interventions, en présentant un exposé sur l’œuvre autobiographique de Nina Berberova, </w:t>
      </w:r>
      <w:r>
        <w:rPr>
          <w:rFonts w:ascii="Times New Roman" w:eastAsia="TimesNewRomanPS-ItalicMT" w:hAnsi="Times New Roman" w:cs="TimesNewRomanPS-ItalicMT"/>
          <w:i/>
          <w:iCs/>
          <w:color w:val="000000"/>
        </w:rPr>
        <w:t>C’est moi qui souligne [Курсив мой].</w:t>
      </w:r>
      <w:r>
        <w:rPr>
          <w:rFonts w:ascii="Times New Roman" w:eastAsia="TimesNewRomanPSMT" w:hAnsi="Times New Roman" w:cs="TimesNewRomanPSMT"/>
          <w:color w:val="000000"/>
        </w:rPr>
        <w:t xml:space="preserve"> Il découvre ce livre pour la première fois en 1973, en anglais et est tout de suite frappé par les descriptions riches et variées des émigrants russes, que l’écrivaine transmet avec un grand sentiment d’empathie et d’amour. Cet exposé vise non pas une présentation descriptive de l'œuvre, mais offre plusieurs pistes de réflexions sur les prises de positions et les souvenirs de Nina </w:t>
      </w:r>
      <w:r>
        <w:rPr>
          <w:rFonts w:ascii="Times New Roman" w:eastAsia="TimesNewRomanPSMT" w:hAnsi="Times New Roman" w:cs="TimesNewRomanPSMT"/>
          <w:color w:val="000000"/>
        </w:rPr>
        <w:lastRenderedPageBreak/>
        <w:t xml:space="preserve">Berberova. </w:t>
      </w:r>
      <w:r>
        <w:rPr>
          <w:rFonts w:ascii="Times New Roman" w:eastAsia="TimesNewRomanPSMT" w:hAnsi="Times New Roman" w:cs="TimesNewRomanPSMT"/>
          <w:color w:val="000000"/>
        </w:rPr>
        <w:br/>
      </w:r>
      <w:r>
        <w:rPr>
          <w:rFonts w:ascii="Times New Roman" w:eastAsia="TimesNewRomanPS-ItalicMT" w:hAnsi="Times New Roman" w:cs="TimesNewRomanPS-ItalicMT"/>
          <w:i/>
          <w:iCs/>
          <w:color w:val="000000"/>
        </w:rPr>
        <w:t>C’est moi qui souligne</w:t>
      </w:r>
      <w:r>
        <w:rPr>
          <w:rFonts w:ascii="Times New Roman" w:eastAsia="TimesNewRomanPSMT" w:hAnsi="Times New Roman" w:cs="TimesNewRomanPSMT"/>
          <w:color w:val="000000"/>
        </w:rPr>
        <w:t xml:space="preserve"> débute par la description de l’enfance et de l’adolescence de l’écrivaine, de son chemin vers la littérature, de ses années du lycée, ce qui aide à comprendre les racines de sa conception du monde, de son comportement et son point de vue sur l’émigration et l’histoire. De ce point de vue, il apparaît, d’une part, que Nina Berberova n’apprécie pas la Russie bolchévique, puisqu’elle déteste la violence et cultive la liberté de la parole et de l’expression. D’autre part, se décèle son refus catégorique envers les us et les coutumes, repérables dans l’habillement, le comportement, la façon de parler. Berberova est contre le conservatisme, l’immobilité du monde spirituel et matériel.  L’œuvre de Nina Berberova permet de penser la division en littérature soviétique et la littérature de l’émigration différemment. Il s’agit d’une seule et même littérature à “deux ailes” (“odna literatura s dvumja kryl’jami”/ одна литература с двумя крульями). En ce qui concerne la littérature de l’émigration, Berberova avait sa propre opinion. Elle appréciait beaucoup les travaux d’Ivan Bunin, qu’elle fréquentait personnellement au même titre que Vladimir Nabokov et qualifiait les œuvres de Aleša comme “les meilleures œuvres” du XXème siècle.                                                                                                                                                       De plus, Berberova ne subdivise pas les écrivains de l’émigration en catégories: ceux qui ont acquis une notoriété avant l’émigration “старшего поколения” (la génération des anciens) et “молодого поколения” (les jeunes), qui sont devenus célèbres en émigration. Elle s’intéresse plutôt aux écrivains en tant que personnalité et tâche d’entrevoir dans leurs œuvres une clarté et une vivacité. L’écrivaine aimait beaucoup les rencontres réelles avec ses pairs et observait très finement leur quotidien.</w:t>
      </w:r>
      <w:r>
        <w:rPr>
          <w:rFonts w:ascii="Times New Roman" w:eastAsia="TimesNewRomanPSMT" w:hAnsi="Times New Roman" w:cs="TimesNewRomanPSMT"/>
          <w:color w:val="000000"/>
        </w:rPr>
        <w:br/>
        <w:t xml:space="preserve">Une volonté d’objectivité et de solidarité se décèle dans l'œuvre de Berberova, même si du point de vue politique, ses réflexions sont discutables, notamment lorsqu’elle considère qu'Hitler fut l’élève de Staline.  </w:t>
      </w:r>
      <w:r>
        <w:rPr>
          <w:rFonts w:ascii="Times New Roman" w:eastAsia="TimesNewRomanPSMT" w:hAnsi="Times New Roman" w:cs="TimesNewRomanPSMT"/>
          <w:color w:val="000000"/>
        </w:rPr>
        <w:br/>
        <w:t xml:space="preserve">La matinée se termine par une discussion animée autour du dernier exposé sur Nina Berberova. La première question se pose comme suit: s’agit-il d’un texte purement biographique? Pour Dmitrii Segal, la mémoire est une catégorie mobile, qui peut effacer ou modifier certains souvenirs. Mais puisque Berberova affirme elle-même qu’il s’agit d’une œuvre autobiographique, il n’y a pas lieu de penser le contraire.                                                                                        </w:t>
      </w:r>
      <w:r>
        <w:rPr>
          <w:rFonts w:ascii="Times New Roman" w:eastAsia="TimesNewRomanPSMT" w:hAnsi="Times New Roman" w:cs="TimesNewRomanPSMT"/>
          <w:color w:val="000000"/>
        </w:rPr>
        <w:br/>
        <w:t xml:space="preserve">La question suivante concerne le parallèle qui peut être fait entre Nina Berberova et Irina Odoevceva. Selon les idées reçues, Berberova apparaît “supérieure” à cette dernière. Dmitrii Segal rappelle que l'œuvre de Berberova est souvent comparée à celle d’Ivanov, plus qu’à celle d’Odoevceva. Pour lui, l'œuvre d’Ivanov est « un mensonge raconté avec du talent » (вранье, но с талантом (“vran’e, no s talantom”/ il ment, mais avec talent)  tandis que l'œuvre d’Odoevceva est un mensonge sans talent ( неталантливое вранье / “netalantlivoe vran’e”). </w:t>
      </w:r>
      <w:r>
        <w:rPr>
          <w:rFonts w:ascii="Times New Roman" w:eastAsia="TimesNewRomanPSMT" w:hAnsi="Times New Roman" w:cs="TimesNewRomanPSMT"/>
          <w:color w:val="000000"/>
        </w:rPr>
        <w:br/>
        <w:t xml:space="preserve"> Au cours des discussions qui suivent, Georges Nivat, Dmitrii Segal, ainsi Gayaneh Armaganian Le-</w:t>
      </w:r>
      <w:r>
        <w:rPr>
          <w:rFonts w:ascii="Times New Roman" w:eastAsia="TimesNewRomanPSMT" w:hAnsi="Times New Roman" w:cs="TimesNewRomanPSMT"/>
          <w:color w:val="000000"/>
        </w:rPr>
        <w:lastRenderedPageBreak/>
        <w:t>Vu rappellent un trait important de l’émigration russe : la question de la nationalité n’est pas centrale. Le père de Nina Berberova était arménien, Gaïto Gazdanov, un autre écrivain illustre de l’émigration russe, était d’origine Ossète. Il en ressort que la solidarité et l’unité dominent dans l’émigration russe.</w:t>
      </w:r>
    </w:p>
    <w:p w14:paraId="3E2F462E" w14:textId="77777777" w:rsidR="00E028C3" w:rsidRDefault="00E028C3">
      <w:pPr>
        <w:pStyle w:val="Standard"/>
        <w:widowControl/>
        <w:spacing w:after="140" w:line="360" w:lineRule="auto"/>
        <w:jc w:val="both"/>
        <w:rPr>
          <w:rFonts w:ascii="Times New Roman" w:hAnsi="Times New Roman"/>
        </w:rPr>
      </w:pPr>
    </w:p>
    <w:p w14:paraId="36A434A5" w14:textId="77777777" w:rsidR="00E028C3" w:rsidRDefault="00000000">
      <w:pPr>
        <w:pStyle w:val="Standard"/>
        <w:widowControl/>
        <w:spacing w:after="140" w:line="360" w:lineRule="auto"/>
        <w:jc w:val="both"/>
        <w:rPr>
          <w:rFonts w:ascii="Times New Roman" w:hAnsi="Times New Roman"/>
        </w:rPr>
      </w:pPr>
      <w:r>
        <w:rPr>
          <w:rFonts w:ascii="Times New Roman" w:eastAsia="TimesNewRomanPSMT" w:hAnsi="Times New Roman" w:cs="TimesNewRomanPSMT"/>
          <w:color w:val="000000"/>
        </w:rPr>
        <w:t xml:space="preserve">Le premier exposé de l’après-midi est présenté par </w:t>
      </w:r>
      <w:r>
        <w:rPr>
          <w:rFonts w:ascii="Times New Roman" w:eastAsia="TimesNewRomanPS-BoldMT" w:hAnsi="Times New Roman" w:cs="TimesNewRomanPS-BoldMT"/>
          <w:b/>
          <w:bCs/>
          <w:color w:val="000000"/>
        </w:rPr>
        <w:t>Svetlana Garziano</w:t>
      </w:r>
      <w:r>
        <w:rPr>
          <w:rFonts w:ascii="Times New Roman" w:eastAsia="TimesNewRomanPSMT" w:hAnsi="Times New Roman" w:cs="TimesNewRomanPSMT"/>
          <w:color w:val="000000"/>
        </w:rPr>
        <w:t>, Maîtresse de conférence à l’Université Lyon III, portant sur Alla Golovina, poétesse de l’émigration russe, assimilée à la « jeune génération » étudiée d’autres chercheurs, comme Iwonna Ndiaye, l’organisatrice de ce Colloque. L’objet de cette intervention est d’analyser la figure de Vladislav Xodacevič dans l’oeuvre de Golovina. Les matériaux trouvés, notamment les notes marginales dans les livres provenant de la bibliothèque de l’écrivaine se trouvant dans les Fonds Slaves de la bibliothèque Diderot de Lyon, qui dispose d’un riche vivier d’ouvrages précieux en langue russe.  La première partie de l’exposé touche à la vie personnelle de Golovina. Née Baronne von Steiger en 1909, Golovina vient d’une famille noble, dont les ancêtres ont travaillé au service de l’État russe.   En 1919, sa famille émigre d’Odessa en direction du Constantinople, puis les événements de la guerre civile l’amènent à revenir en Russie. Lorsque la guerre s’achève avec la victoire des Rouges, Golovina revient à Constantinople et étudie par la suite à Prague. Là-bas, elle participe au cercle des poètes “Skit”  sous les auspices du célèbre professeur-philologue Alfred Bem. En 1928, Golovina commence à publier ses premiers poèmes. En 1935, elle se marie et émigre à Paris. Elle y rencontre les  fameux poètes de « La Rotonde » à Montparnasse, dont Xodasevič. La poétesse fut un membre actif de la  “Note parisienne” (Парижская нота). De son vivant, un seul recueil de poésie "Lebedinaja karusel’" (</w:t>
      </w:r>
      <w:r>
        <w:rPr>
          <w:rFonts w:ascii="Times New Roman" w:eastAsia="TimesNewRomanPS-ItalicMT" w:hAnsi="Times New Roman" w:cs="TimesNewRomanPS-ItalicMT"/>
          <w:i/>
          <w:iCs/>
          <w:color w:val="000000"/>
        </w:rPr>
        <w:t xml:space="preserve">Le carrousel des cygnes, </w:t>
      </w:r>
      <w:r>
        <w:rPr>
          <w:rFonts w:ascii="Times New Roman" w:eastAsia="TimesNewRomanPSMT" w:hAnsi="Times New Roman" w:cs="TimesNewRomanPSMT"/>
          <w:color w:val="000000"/>
        </w:rPr>
        <w:t>1935) de Golovina a été publiée. Xodasevič évalue ce recueil dans la revue « Poslednie novosti » (</w:t>
      </w:r>
      <w:r>
        <w:rPr>
          <w:rFonts w:ascii="Times New Roman" w:eastAsia="TimesNewRomanPS-ItalicMT" w:hAnsi="Times New Roman" w:cs="TimesNewRomanPS-ItalicMT"/>
          <w:i/>
          <w:iCs/>
          <w:color w:val="000000"/>
        </w:rPr>
        <w:t>Les Dernières nouvelles</w:t>
      </w:r>
      <w:r>
        <w:rPr>
          <w:rFonts w:ascii="Times New Roman" w:eastAsia="TimesNewRomanPSMT" w:hAnsi="Times New Roman" w:cs="TimesNewRomanPSMT"/>
          <w:color w:val="000000"/>
        </w:rPr>
        <w:t>) et « Vozroždenie » (</w:t>
      </w:r>
      <w:r>
        <w:rPr>
          <w:rFonts w:ascii="Times New Roman" w:eastAsia="TimesNewRomanPS-ItalicMT" w:hAnsi="Times New Roman" w:cs="TimesNewRomanPS-ItalicMT"/>
          <w:i/>
          <w:iCs/>
          <w:color w:val="000000"/>
        </w:rPr>
        <w:t>La Renaissance</w:t>
      </w:r>
      <w:r>
        <w:rPr>
          <w:rFonts w:ascii="Times New Roman" w:eastAsia="TimesNewRomanPSMT" w:hAnsi="Times New Roman" w:cs="TimesNewRomanPSMT"/>
          <w:color w:val="000000"/>
        </w:rPr>
        <w:t xml:space="preserve">).  La deuxième partie de l’exposé s’attache à analyser les réminiscences de Golovina sur Xodasevič à l’aide de ses </w:t>
      </w:r>
      <w:r>
        <w:rPr>
          <w:rFonts w:ascii="Times New Roman" w:eastAsia="TimesNewRomanPS-ItalicMT" w:hAnsi="Times New Roman" w:cs="TimesNewRomanPS-ItalicMT"/>
          <w:i/>
          <w:iCs/>
          <w:color w:val="000000"/>
        </w:rPr>
        <w:t>marginalia</w:t>
      </w:r>
      <w:r>
        <w:rPr>
          <w:rFonts w:ascii="Times New Roman" w:eastAsia="TimesNewRomanPSMT" w:hAnsi="Times New Roman" w:cs="TimesNewRomanPSMT"/>
          <w:color w:val="000000"/>
        </w:rPr>
        <w:t xml:space="preserve">. Tout d’abord, Golovina possédait deux livres, </w:t>
      </w:r>
      <w:r>
        <w:rPr>
          <w:rFonts w:ascii="Times New Roman" w:eastAsia="TimesNewRomanPS-ItalicMT" w:hAnsi="Times New Roman" w:cs="TimesNewRomanPS-ItalicMT"/>
          <w:i/>
          <w:iCs/>
          <w:color w:val="000000"/>
        </w:rPr>
        <w:t>La Nécropole</w:t>
      </w:r>
      <w:r>
        <w:rPr>
          <w:rFonts w:ascii="Times New Roman" w:eastAsia="TimesNewRomanPSMT" w:hAnsi="Times New Roman" w:cs="TimesNewRomanPSMT"/>
          <w:color w:val="000000"/>
        </w:rPr>
        <w:t xml:space="preserve"> (</w:t>
      </w:r>
      <w:r>
        <w:rPr>
          <w:rFonts w:ascii="Times New Roman" w:eastAsia="TimesNewRomanPS-ItalicMT" w:hAnsi="Times New Roman" w:cs="TimesNewRomanPS-ItalicMT"/>
          <w:i/>
          <w:iCs/>
          <w:color w:val="000000"/>
        </w:rPr>
        <w:t>Некропoль</w:t>
      </w:r>
      <w:r>
        <w:rPr>
          <w:rFonts w:ascii="Times New Roman" w:eastAsia="TimesNewRomanPSMT" w:hAnsi="Times New Roman" w:cs="TimesNewRomanPSMT"/>
          <w:color w:val="000000"/>
        </w:rPr>
        <w:t xml:space="preserve">, 1939) de Xodasevič avec des dédicaces directement adressées à l’écrivaine.  Golovina a également écrit des poèmes dédiés aux écrivains de l’émigration, comme Marina Cvetaeva, mais aussi à Anna Axmatova. Dans son poème, “О как Вы стастно этого хотели” ( O kak Vy strastno ètogo xoteli” / </w:t>
      </w:r>
      <w:r>
        <w:rPr>
          <w:rFonts w:ascii="Times New Roman" w:eastAsia="TimesNewRomanPS-ItalicMT" w:hAnsi="Times New Roman" w:cs="TimesNewRomanPS-ItalicMT"/>
          <w:i/>
          <w:iCs/>
          <w:color w:val="000000"/>
        </w:rPr>
        <w:t xml:space="preserve">O comme Vous le vouliez ardemment, </w:t>
      </w:r>
      <w:r>
        <w:rPr>
          <w:rFonts w:ascii="Times New Roman" w:eastAsia="TimesNewRomanPSMT" w:hAnsi="Times New Roman" w:cs="TimesNewRomanPSMT"/>
          <w:color w:val="000000"/>
        </w:rPr>
        <w:t xml:space="preserve">1942), elle se présente comme l’héritière directe de Xodasevič. Par ailleurs, son poème “ Золушка” (Cendrillon) est écrit sous l’influence des “Ballade” de Xodasevič.  Dans les marges du septième numéro de la revue “Novaja russkaja kniga” (Le nouveau livre russe, 1922), Golovina exprime sa profonde admiration pour l’art de Xodasevič, ainsi que pour Marina Cvetaeva.  La troisième partie concerne les notes de Golovina sur son exemplaire du </w:t>
      </w:r>
      <w:r>
        <w:rPr>
          <w:rFonts w:ascii="Times New Roman" w:eastAsia="TimesNewRomanPS-ItalicMT" w:hAnsi="Times New Roman" w:cs="TimesNewRomanPS-ItalicMT"/>
          <w:i/>
          <w:iCs/>
          <w:color w:val="000000"/>
        </w:rPr>
        <w:t>Recueil des poèmes</w:t>
      </w:r>
      <w:r>
        <w:rPr>
          <w:rFonts w:ascii="Times New Roman" w:eastAsia="TimesNewRomanPSMT" w:hAnsi="Times New Roman" w:cs="TimesNewRomanPSMT"/>
          <w:color w:val="000000"/>
        </w:rPr>
        <w:t xml:space="preserve"> de Xodacevič, datant de 1927. Il présente un intérêt particulier car cet exemplaire du livre est  parsemé </w:t>
      </w:r>
      <w:r>
        <w:rPr>
          <w:rFonts w:ascii="Times New Roman" w:eastAsia="TimesNewRomanPSMT" w:hAnsi="Times New Roman" w:cs="TimesNewRomanPSMT"/>
          <w:color w:val="000000"/>
        </w:rPr>
        <w:lastRenderedPageBreak/>
        <w:t xml:space="preserve">de nombreuses notes personnelles de la poétesse. Ses notes reposent sur des données autobiographiques contenant une bibliographie précise des œuvres littéraires en possession de Golovina, ainsi que les lieux des publications, qui sont soulignés. Cela met l’accent sur l’importance des lieux dans l’émigration russe.  Ces notes ou </w:t>
      </w:r>
      <w:r>
        <w:rPr>
          <w:rFonts w:ascii="Times New Roman" w:eastAsia="TimesNewRomanPS-ItalicMT" w:hAnsi="Times New Roman" w:cs="TimesNewRomanPS-ItalicMT"/>
          <w:i/>
          <w:iCs/>
          <w:color w:val="000000"/>
        </w:rPr>
        <w:t>marginalia</w:t>
      </w:r>
      <w:r>
        <w:rPr>
          <w:rFonts w:ascii="Times New Roman" w:eastAsia="TimesNewRomanPSMT" w:hAnsi="Times New Roman" w:cs="TimesNewRomanPSMT"/>
          <w:color w:val="000000"/>
        </w:rPr>
        <w:t xml:space="preserve"> de Golovina ont un grand intérêt, puisqu’elles montrent le fonctionnement non seulement au niveau de certains passages, mais également au niveau sémantique dans l’ensemble du livre, formant une unité. Cette recherche permet de révéler de nouveaux traits biographiques de la vie de Xodacevič, un grand poète russe du XXème siècle.</w:t>
      </w:r>
    </w:p>
    <w:p w14:paraId="548460ED" w14:textId="77777777" w:rsidR="00E028C3" w:rsidRDefault="00000000">
      <w:pPr>
        <w:pStyle w:val="Standard"/>
        <w:widowControl/>
        <w:spacing w:after="140" w:line="360" w:lineRule="auto"/>
        <w:rPr>
          <w:rFonts w:ascii="Times New Roman" w:hAnsi="Times New Roman"/>
          <w:color w:val="000000"/>
        </w:rPr>
      </w:pPr>
      <w:r>
        <w:rPr>
          <w:rFonts w:ascii="Times New Roman" w:eastAsia="TimesNewRomanPSMT" w:hAnsi="Times New Roman" w:cs="TimesNewRomanPSMT"/>
          <w:color w:val="000000"/>
        </w:rPr>
        <w:t xml:space="preserve">Le second exposé de l’après-midi, présenté par </w:t>
      </w:r>
      <w:r>
        <w:rPr>
          <w:rFonts w:ascii="Times New Roman" w:eastAsia="TimesNewRomanPS-BoldMT" w:hAnsi="Times New Roman" w:cs="TimesNewRomanPS-BoldMT"/>
          <w:b/>
          <w:bCs/>
          <w:color w:val="000000"/>
        </w:rPr>
        <w:t>Zdenĕk Pechal</w:t>
      </w:r>
      <w:r>
        <w:rPr>
          <w:rFonts w:ascii="Times New Roman" w:eastAsia="TimesNewRomanPSMT" w:hAnsi="Times New Roman" w:cs="TimesNewRomanPSMT"/>
          <w:color w:val="000000"/>
        </w:rPr>
        <w:t xml:space="preserve">, Professeur à l’Université Palackého v Olomouci, République tchèque, a pour objet d’analyser l’ambivalence textuelle du </w:t>
      </w:r>
      <w:r>
        <w:rPr>
          <w:rFonts w:ascii="Times New Roman" w:eastAsia="TimesNewRomanPS-ItalicMT" w:hAnsi="Times New Roman" w:cs="TimesNewRomanPS-ItalicMT"/>
          <w:i/>
          <w:iCs/>
          <w:color w:val="000000"/>
        </w:rPr>
        <w:t>Feu pâle</w:t>
      </w:r>
      <w:r>
        <w:rPr>
          <w:rFonts w:ascii="Times New Roman" w:eastAsia="TimesNewRomanPSMT" w:hAnsi="Times New Roman" w:cs="TimesNewRomanPSMT"/>
          <w:color w:val="000000"/>
        </w:rPr>
        <w:t xml:space="preserve"> ( titre original : </w:t>
      </w:r>
      <w:r>
        <w:rPr>
          <w:rFonts w:ascii="Times New Roman" w:eastAsia="TimesNewRomanPS-ItalicMT" w:hAnsi="Times New Roman" w:cs="TimesNewRomanPS-ItalicMT"/>
          <w:i/>
          <w:iCs/>
          <w:color w:val="000000"/>
        </w:rPr>
        <w:t>Pale Fire</w:t>
      </w:r>
      <w:r>
        <w:rPr>
          <w:rFonts w:ascii="Times New Roman" w:eastAsia="TimesNewRomanPSMT" w:hAnsi="Times New Roman" w:cs="TimesNewRomanPSMT"/>
          <w:color w:val="000000"/>
        </w:rPr>
        <w:t xml:space="preserve">, 1964) de Vladimir Nabokov. De par la complexité de sa structure, cette œuvre est souvent qualifiée de  «centaure littéraire» : on y retrouve la préface de l’éditeur, 999 vers rimés, un long commentaire critique avec des remarques, qui dépassent le volume du poème lui-même, ainsi qu’un index nominatif.  L’ambivalence du texte repose sur plusieurs facteurs. Le premier étant le sujet du livre lui-même : Charles Kinbote retrouve le manuscrit du poète et Professeur John Shade et en donne son commentaire. Dans la préface, on apprend que Kinbote était l’ami et le voisin de Shade, et que d’une certaine façon, ce premier aurait donc pris part dans l’écriture du poème. La deuxième particularité est la préface, est qu’elle n’a pas les caractéristiques conventionnelles : il n’y a pas de données autobiographiques, ni de rappels de certains événements. Cette préface parodierait même les préfaces classiques. Le troisième paradoxe réside dans l’inexactitude des lignes thématiques, qui traversent le poème, composé de quatre parties. De plus, le poème semble se dédoubler. Le commentaire qui suit, apparaît comme la clé de la compréhension de celui-ci. Par exemple, l'image de l’oiseau qui s’écrase contre le carreau de la fenêtre traduit l’illusion d’un espace étendu, qui rime avec la mort. Cela illustre la fluidité des images dans le poème. Un autre exemple de telles images est l’ombre aveugle tombant sur le lac, qui traduit le chagrin provenant de la perte de l’enfance. Dans ce poème se retrouvent également des réflexions sur le sens de l’art, qui est relié à la vie humaine. Le narrateur comprend que seul l’art peut permettre d’atteindre une existence digne d’être vécue. Et ce poème apparaît comme le reflet et le miroir de l’existence elle-même.  Enfin, l’ultime spécificité de l’oeuvre, évoquée lors cet exposé est la voix narrative du Docteur Kinbote dans le commentaire. Certains critiques pensent, que ce n’est pas un collègue et/ou le voisin du professeur Shade. Il s’agirait, en réalité,  d’un émigrant russe du nom Botkine. Ce dernier vit dans le monde des illusions et pense être persécuté par un tueur envoyé par l’URSS.                       </w:t>
      </w:r>
      <w:r>
        <w:rPr>
          <w:rFonts w:ascii="Times New Roman" w:eastAsia="TimesNewRomanPSMT" w:hAnsi="Times New Roman" w:cs="TimesNewRomanPSMT"/>
          <w:color w:val="000000"/>
        </w:rPr>
        <w:br/>
        <w:t xml:space="preserve">Ce qui aide à comprendre le poème et constitue son arrière-texte (“zatekst”) est l’histoire du destin de Charles II. Cet indice est donné au lecteur afin qu’il puisse comprendre pleinement tous les </w:t>
      </w:r>
      <w:r>
        <w:rPr>
          <w:rFonts w:ascii="Times New Roman" w:eastAsia="TimesNewRomanPSMT" w:hAnsi="Times New Roman" w:cs="TimesNewRomanPSMT"/>
          <w:color w:val="000000"/>
        </w:rPr>
        <w:lastRenderedPageBreak/>
        <w:t xml:space="preserve">rapports de force. Le sujet possède deux niveaux: l’histoire personnelle de Charles II et la persécution du personnage principal.  Ainsi, il apparaît que le héros se dédouble constamment en réalité et son ombre. </w:t>
      </w:r>
      <w:r>
        <w:rPr>
          <w:rFonts w:ascii="Times New Roman" w:eastAsia="TimesNewRomanPSMT" w:hAnsi="Times New Roman" w:cs="TimesNewRomanPSMT"/>
          <w:color w:val="000000"/>
        </w:rPr>
        <w:br/>
        <w:t xml:space="preserve">En conclusion, il apparaît que la trame narrative du </w:t>
      </w:r>
      <w:r>
        <w:rPr>
          <w:rFonts w:ascii="Times New Roman" w:eastAsia="TimesNewRomanPS-ItalicMT" w:hAnsi="Times New Roman" w:cs="TimesNewRomanPS-ItalicMT"/>
          <w:i/>
          <w:iCs/>
          <w:color w:val="000000"/>
        </w:rPr>
        <w:t>Feu pâle</w:t>
      </w:r>
      <w:r>
        <w:rPr>
          <w:rFonts w:ascii="Times New Roman" w:eastAsia="TimesNewRomanPSMT" w:hAnsi="Times New Roman" w:cs="TimesNewRomanPSMT"/>
          <w:color w:val="000000"/>
        </w:rPr>
        <w:t xml:space="preserve"> n’est pas fixe et de ce fait, le texte est lui-même ambivalent: un environnement instable, de nombreux parallèles, des explications fallacieuses, des contradictions sémantiques. Il existe donc deux textes: le texte écrit et le texte que le lecteur doit découvrir tout seul. Selon Jdanek Pechal, tout ceci donne pleinement le droit aux chercheurs littéraires de parler d’un arrière-texte à cause de l’ambivalence de la structure narrative et du narrateur peu fiable. Des questionnements phénoménologiques sont soulevés dans cette œuvre: comment interpréter les phénomènes, comment voir la réalité et comment cette dernière nous apparaît-elle ?</w:t>
      </w:r>
    </w:p>
    <w:p w14:paraId="75874CC5" w14:textId="77777777" w:rsidR="00E028C3" w:rsidRDefault="00E028C3">
      <w:pPr>
        <w:pStyle w:val="Standard"/>
        <w:widowControl/>
        <w:spacing w:after="140" w:line="360" w:lineRule="auto"/>
        <w:jc w:val="both"/>
        <w:rPr>
          <w:rFonts w:ascii="Times New Roman" w:hAnsi="Times New Roman"/>
          <w:color w:val="000000"/>
        </w:rPr>
      </w:pPr>
    </w:p>
    <w:p w14:paraId="62991840" w14:textId="77777777" w:rsidR="00E028C3" w:rsidRDefault="00000000">
      <w:pPr>
        <w:pStyle w:val="Standard"/>
        <w:widowControl/>
        <w:spacing w:after="140" w:line="360" w:lineRule="auto"/>
        <w:rPr>
          <w:rFonts w:ascii="Times New Roman" w:hAnsi="Times New Roman"/>
          <w:color w:val="000000"/>
        </w:rPr>
      </w:pPr>
      <w:r>
        <w:rPr>
          <w:rFonts w:ascii="Times New Roman" w:eastAsia="TimesNewRomanPSMT" w:hAnsi="Times New Roman" w:cs="TimesNewRomanPSMT"/>
          <w:color w:val="000000"/>
        </w:rPr>
        <w:t xml:space="preserve">La troisième intervention de </w:t>
      </w:r>
      <w:r>
        <w:rPr>
          <w:rFonts w:ascii="Times New Roman" w:eastAsia="TimesNewRomanPS-BoldMT" w:hAnsi="Times New Roman" w:cs="TimesNewRomanPS-BoldMT"/>
          <w:b/>
          <w:bCs/>
          <w:color w:val="000000"/>
        </w:rPr>
        <w:t>Lioudmila Chvedova</w:t>
      </w:r>
      <w:r>
        <w:rPr>
          <w:rFonts w:ascii="Times New Roman" w:eastAsia="TimesNewRomanPSMT" w:hAnsi="Times New Roman" w:cs="TimesNewRomanPSMT"/>
          <w:color w:val="000000"/>
        </w:rPr>
        <w:t>, de l’Université Paris IV Sorbonne, traite de la mémoire de l’enfance dans les oeuvres de Vladimir Nabokov et Joseph Brodski. La thématique de l’enfance est récurrente dans (</w:t>
      </w:r>
      <w:r>
        <w:rPr>
          <w:rFonts w:ascii="Times New Roman" w:eastAsia="TimesNewRomanPS-ItalicMT" w:hAnsi="Times New Roman" w:cs="TimesNewRomanPS-ItalicMT"/>
          <w:i/>
          <w:iCs/>
          <w:color w:val="000000"/>
        </w:rPr>
        <w:t>Drugie berega Drugie berega /Autres rivages</w:t>
      </w:r>
      <w:r>
        <w:rPr>
          <w:rFonts w:ascii="Times New Roman" w:eastAsia="TimesNewRomanPSMT" w:hAnsi="Times New Roman" w:cs="TimesNewRomanPSMT"/>
          <w:color w:val="000000"/>
        </w:rPr>
        <w:t>, 1954) et  « Mademoiselle O » (1936) de Nabokov,  et  dans « Poltory komnaty » (</w:t>
      </w:r>
      <w:r>
        <w:rPr>
          <w:rFonts w:ascii="Times New Roman" w:eastAsia="TimesNewRomanPS-ItalicMT" w:hAnsi="Times New Roman" w:cs="TimesNewRomanPS-ItalicMT"/>
          <w:i/>
          <w:iCs/>
          <w:color w:val="000000"/>
        </w:rPr>
        <w:t>Une pièce et demie</w:t>
      </w:r>
      <w:r>
        <w:rPr>
          <w:rFonts w:ascii="Times New Roman" w:eastAsia="TimesNewRomanPSMT" w:hAnsi="Times New Roman" w:cs="TimesNewRomanPSMT"/>
          <w:color w:val="000000"/>
        </w:rPr>
        <w:t>, 1985) et les Essais choisis autobiographiques et littéraires traduits de l’anglais «  Men’še edinicy » (</w:t>
      </w:r>
      <w:r>
        <w:rPr>
          <w:rFonts w:ascii="Times New Roman" w:eastAsia="TimesNewRomanPS-ItalicMT" w:hAnsi="Times New Roman" w:cs="TimesNewRomanPS-ItalicMT"/>
          <w:i/>
          <w:iCs/>
          <w:color w:val="000000"/>
        </w:rPr>
        <w:t>Меньше единицы</w:t>
      </w:r>
      <w:r>
        <w:rPr>
          <w:rFonts w:ascii="Times New Roman" w:eastAsia="TimesNewRomanPSMT" w:hAnsi="Times New Roman" w:cs="TimesNewRomanPSMT"/>
          <w:color w:val="000000"/>
        </w:rPr>
        <w:t xml:space="preserve">/ </w:t>
      </w:r>
      <w:r>
        <w:rPr>
          <w:rFonts w:ascii="Times New Roman" w:eastAsia="TimesNewRomanPS-ItalicMT" w:hAnsi="Times New Roman" w:cs="TimesNewRomanPS-ItalicMT"/>
          <w:i/>
          <w:iCs/>
          <w:color w:val="000000"/>
        </w:rPr>
        <w:t>Moins d’un</w:t>
      </w:r>
      <w:r>
        <w:rPr>
          <w:rFonts w:ascii="Times New Roman" w:eastAsia="TimesNewRomanPSMT" w:hAnsi="Times New Roman" w:cs="TimesNewRomanPSMT"/>
          <w:color w:val="000000"/>
        </w:rPr>
        <w:t>, 1976) de Brodsky. Leurs œuvres sont fondées sur des réflexions assez proches, celles sur l’enfance. Tous les deux se sont exilés aux Etats-Unis et y ont obtenu la citoyenneté. Pourtant les deux écrivains ne se sont jamais rencontrés. Il existait même une rivalité entre les deux et Nabokov avait vivement critiqué Brodsky. Dans son exposé, Lioudmila Chvedova s’intéresse à la chronologie des événements décrits dans ces œuvres, à l’influence de l’émigration et à l’image de la patrie qui découle de ces livres.</w:t>
      </w:r>
      <w:r>
        <w:rPr>
          <w:rFonts w:ascii="Times New Roman" w:eastAsia="TimesNewRomanPSMT" w:hAnsi="Times New Roman" w:cs="TimesNewRomanPSMT"/>
          <w:color w:val="000000"/>
        </w:rPr>
        <w:br/>
        <w:t xml:space="preserve">La première différence entre les deux écrivains est la situation financière. Né dans une famille riche, mais ayant tout perdu pendant la révolution, Nabokov a vécu une enfance heureuse et harmonieuse, entouré de gouvernantes françaises et anglaises, et de riches bibliothèques. Brodsky, quant à lui, passe son enfance dans un appartement communautaire à Léningrad et apprend l’anglais en autodidacte. De plus, l’organisation des textes n’est pas du tout similaire chez les deux écrivains. Les souvenirs de Brodsky sont décrits de façon désordonnée et fragmentaire, tandis que chez Nabokov ils sont très détaillés. Il accorde une grande importance aux couleurs et à l'environnement, ce qui crée un effet de synesthésie. L’écrivain évoque souvent son audition colorée et la figure antique de la mémoire, Mnémosyne. De cette manière, la mémoire est personnifiée, ce qui rend l’autobiographie romancée plus vivante, surtout en langue russe.                                     </w:t>
      </w:r>
    </w:p>
    <w:p w14:paraId="264444AA" w14:textId="77777777" w:rsidR="00E028C3" w:rsidRDefault="00000000">
      <w:pPr>
        <w:pStyle w:val="Standard"/>
        <w:widowControl/>
        <w:spacing w:after="140" w:line="360" w:lineRule="auto"/>
        <w:jc w:val="both"/>
        <w:rPr>
          <w:rFonts w:ascii="Times New Roman" w:eastAsia="TimesNewRomanPSMT" w:hAnsi="Times New Roman" w:cs="TimesNewRomanPSMT"/>
          <w:color w:val="000000"/>
        </w:rPr>
      </w:pPr>
      <w:r>
        <w:rPr>
          <w:rFonts w:ascii="Times New Roman" w:eastAsia="TimesNewRomanPSMT" w:hAnsi="Times New Roman" w:cs="TimesNewRomanPSMT"/>
          <w:color w:val="000000"/>
        </w:rPr>
        <w:lastRenderedPageBreak/>
        <w:t> Ce qui les rassemble, c’est l’expérience de la vie en émigration. Les deux écrivains s'adressent à leur mémoire en cette période difficile de leur vie afin d’intensifier leurs souvenirs. Mais des limites subsistent car il est parfois impossible de rendre les réalités russes en langue étrangère. Quoi qu’il en soit, Brodsky et Nabokov écrivent en anglais et en russe. Ce qui les unit, c’est donc leur bilinguisme ou plurilinguisme.  Il faut retenir que les deux écrivains sont nés et ont grandi dans la même ville mythique Saint-Pétersbourg, ce qui explique l’inspiration commune de leurs œuvres. Tous les deux ont été témoins de bouleversements historiques. Le recul pris en émigration leur a permis d’avoir un autre regard sur l’enfance, certaines valeurs de leur enfance sont devenues plus précieuses à leurs yeux. </w:t>
      </w:r>
    </w:p>
    <w:p w14:paraId="240AF970" w14:textId="77777777" w:rsidR="00E028C3" w:rsidRDefault="00000000">
      <w:pPr>
        <w:pStyle w:val="Standard"/>
        <w:widowControl/>
        <w:spacing w:after="140" w:line="360" w:lineRule="auto"/>
        <w:jc w:val="both"/>
        <w:rPr>
          <w:rFonts w:ascii="Times New Roman" w:eastAsia="TimesNewRomanPSMT" w:hAnsi="Times New Roman" w:cs="TimesNewRomanPSMT"/>
          <w:color w:val="000000"/>
        </w:rPr>
      </w:pPr>
      <w:r>
        <w:rPr>
          <w:rFonts w:ascii="Times New Roman" w:eastAsia="TimesNewRomanPSMT" w:hAnsi="Times New Roman" w:cs="TimesNewRomanPSMT"/>
          <w:color w:val="000000"/>
        </w:rPr>
        <w:t>Une part importante de la discussion est consacrée à Alla Golovina. La première question porte sur les éventuels ressemblances entre son art et celui de Xodasevič. Selon Svetlana Garziano, il existe beaucoup à matériaux, qui méritent d’être analysés afin de répondre à cette question. Elle propose notamment de mettre en parallèle « Zoluška » (Cendrillon) d’Alla Golovina et « Les Ballades » de Xodasevič.  Une autre remarque intéressante concerne la traduction. Beaucoup de poètes de l’émigration, assimilée à la dite « jeune génération » n’ont pas été traduits en français. Dans cette perspective, il serait tout à fait pertinent de traduire A. Golovina en français.  La dernière question traite des procédés littéraires de V. Nabokov. Lors du colloque en 1955, Pietro Citati qualifie les romans de Nabokov de « romans de glose », sous-entendant qu’il existe plusieurs voix narratives. Selon Zdenĕk Pechal, l’un des traits caractéristiques des romans de Nabokov est le changement de visage du narrateur et ses masques. Il s’agirait même de la méthode artistique de Nabokov, qui pose une devinette aux lecteurs. Cependant une question subsiste : existe-il qu’une seule réponse ou plusieurs interprétations sont-elles possibles ?</w:t>
      </w:r>
    </w:p>
    <w:p w14:paraId="541002B2" w14:textId="77777777" w:rsidR="00E028C3" w:rsidRDefault="00000000">
      <w:pPr>
        <w:pStyle w:val="Standard"/>
        <w:widowControl/>
        <w:spacing w:after="140" w:line="360" w:lineRule="auto"/>
        <w:jc w:val="both"/>
        <w:rPr>
          <w:rFonts w:ascii="Times New Roman" w:hAnsi="Times New Roman"/>
          <w:color w:val="000000"/>
        </w:rPr>
      </w:pPr>
      <w:r>
        <w:rPr>
          <w:rFonts w:ascii="Times New Roman" w:eastAsia="TimesNewRomanPSMT" w:hAnsi="Times New Roman" w:cs="TimesNewRomanPSMT"/>
          <w:color w:val="000000"/>
        </w:rPr>
        <w:t xml:space="preserve">Après une courte pause, </w:t>
      </w:r>
      <w:r>
        <w:rPr>
          <w:rFonts w:ascii="Times New Roman" w:eastAsia="TimesNewRomanPS-BoldMT" w:hAnsi="Times New Roman" w:cs="TimesNewRomanPS-BoldMT"/>
          <w:b/>
          <w:bCs/>
          <w:color w:val="000000"/>
        </w:rPr>
        <w:t>Elda Garetto</w:t>
      </w:r>
      <w:r>
        <w:rPr>
          <w:rFonts w:ascii="Times New Roman" w:eastAsia="TimesNewRomanPSMT" w:hAnsi="Times New Roman" w:cs="TimesNewRomanPSMT"/>
          <w:color w:val="000000"/>
        </w:rPr>
        <w:t>, de l’Université de Milan donne une vue d’ensemble sur les éditions italiennes des œuvres de Vasilij Janoskij de 1937 à 1955.  Ses œuvres ont été reçues de façon sceptique par la critique et n’ont pas été largement traduites. Il n’existe qu’une seule traduction en français de « Koleso » (</w:t>
      </w:r>
      <w:r>
        <w:rPr>
          <w:rFonts w:ascii="Times New Roman" w:eastAsia="TimesNewRomanPS-ItalicMT" w:hAnsi="Times New Roman" w:cs="TimesNewRomanPS-ItalicMT"/>
          <w:i/>
          <w:iCs/>
          <w:color w:val="000000"/>
        </w:rPr>
        <w:t>Колесо / La roue</w:t>
      </w:r>
      <w:r>
        <w:rPr>
          <w:rFonts w:ascii="Times New Roman" w:eastAsia="TimesNewRomanPSMT" w:hAnsi="Times New Roman" w:cs="TimesNewRomanPSMT"/>
          <w:color w:val="000000"/>
        </w:rPr>
        <w:t>), ainsi de « Ljubov’ vtoraja» (</w:t>
      </w:r>
      <w:r>
        <w:rPr>
          <w:rFonts w:ascii="Times New Roman" w:eastAsia="TimesNewRomanPS-ItalicMT" w:hAnsi="Times New Roman" w:cs="TimesNewRomanPS-ItalicMT"/>
          <w:i/>
          <w:iCs/>
          <w:color w:val="000000"/>
        </w:rPr>
        <w:t>Любовь врорая / Le</w:t>
      </w:r>
      <w:r>
        <w:rPr>
          <w:rFonts w:ascii="Times New Roman" w:eastAsia="TimesNewRomanPSMT" w:hAnsi="Times New Roman" w:cs="TimesNewRomanPSMT"/>
          <w:color w:val="000000"/>
        </w:rPr>
        <w:t xml:space="preserve"> </w:t>
      </w:r>
      <w:r>
        <w:rPr>
          <w:rFonts w:ascii="Times New Roman" w:eastAsia="TimesNewRomanPS-ItalicMT" w:hAnsi="Times New Roman" w:cs="TimesNewRomanPS-ItalicMT"/>
          <w:i/>
          <w:iCs/>
          <w:color w:val="000000"/>
        </w:rPr>
        <w:t>deuxième amour</w:t>
      </w:r>
      <w:r>
        <w:rPr>
          <w:rFonts w:ascii="Times New Roman" w:eastAsia="TimesNewRomanPSMT" w:hAnsi="Times New Roman" w:cs="TimesNewRomanPSMT"/>
          <w:color w:val="000000"/>
        </w:rPr>
        <w:t>) et de « Amerikanskij opyt » (</w:t>
      </w:r>
      <w:r>
        <w:rPr>
          <w:rFonts w:ascii="Times New Roman" w:eastAsia="TimesNewRomanPS-ItalicMT" w:hAnsi="Times New Roman" w:cs="TimesNewRomanPS-ItalicMT"/>
          <w:i/>
          <w:iCs/>
          <w:color w:val="000000"/>
        </w:rPr>
        <w:t>Американскиж опыт / L’expérience américaine</w:t>
      </w:r>
      <w:r>
        <w:rPr>
          <w:rFonts w:ascii="Times New Roman" w:eastAsia="TimesNewRomanPSMT" w:hAnsi="Times New Roman" w:cs="TimesNewRomanPSMT"/>
          <w:color w:val="000000"/>
        </w:rPr>
        <w:t xml:space="preserve">) en italien. Ces rares traductions coïncident avec la première vague de l’émigration, puisqu’elles se font dans les années trente. La découverte de ses traductions a pu se faire grâce aux archives des éditeurs italiens, dont Kuhfelle. Son intérêt envers la traduction s’accroît d’année en année, et en 1936, il décide de faire connaissance avec le monde de la diaspora russe. C’est ainsi, qu’il rencontre Poplavskij, et Janovskij.  Kuhfelle se sentait proche de ces jeunes émigrés. Dans un article de la revue </w:t>
      </w:r>
      <w:r>
        <w:rPr>
          <w:rFonts w:ascii="Times New Roman" w:eastAsia="TimesNewRomanPS-ItalicMT" w:hAnsi="Times New Roman" w:cs="TimesNewRomanPS-ItalicMT"/>
          <w:i/>
          <w:iCs/>
          <w:color w:val="000000"/>
        </w:rPr>
        <w:t>Bonpian</w:t>
      </w:r>
      <w:r>
        <w:rPr>
          <w:rFonts w:ascii="Times New Roman" w:eastAsia="TimesNewRomanPSMT" w:hAnsi="Times New Roman" w:cs="TimesNewRomanPSMT"/>
          <w:color w:val="000000"/>
        </w:rPr>
        <w:t xml:space="preserve">, il rapporte l’histoire de l'héroïne du </w:t>
      </w:r>
      <w:r>
        <w:rPr>
          <w:rFonts w:ascii="Times New Roman" w:eastAsia="TimesNewRomanPS-ItalicMT" w:hAnsi="Times New Roman" w:cs="TimesNewRomanPS-ItalicMT"/>
          <w:i/>
          <w:iCs/>
          <w:color w:val="000000"/>
        </w:rPr>
        <w:t xml:space="preserve">Deuxième amour </w:t>
      </w:r>
      <w:r>
        <w:rPr>
          <w:rFonts w:ascii="Times New Roman" w:eastAsia="TimesNewRomanPSMT" w:hAnsi="Times New Roman" w:cs="TimesNewRomanPSMT"/>
          <w:color w:val="000000"/>
        </w:rPr>
        <w:t xml:space="preserve">en la comparant à une légitimation de toute destinée humaine. Du reste, dans un premier temps, le public italien semble </w:t>
      </w:r>
      <w:r>
        <w:rPr>
          <w:rFonts w:ascii="Times New Roman" w:eastAsia="TimesNewRomanPSMT" w:hAnsi="Times New Roman" w:cs="TimesNewRomanPSMT"/>
          <w:color w:val="000000"/>
        </w:rPr>
        <w:lastRenderedPageBreak/>
        <w:t xml:space="preserve">curieux de lire de telles histoires, notamment celle de </w:t>
      </w:r>
      <w:r>
        <w:rPr>
          <w:rFonts w:ascii="Times New Roman" w:eastAsia="TimesNewRomanPS-ItalicMT" w:hAnsi="Times New Roman" w:cs="TimesNewRomanPS-ItalicMT"/>
          <w:i/>
          <w:iCs/>
          <w:color w:val="000000"/>
        </w:rPr>
        <w:t xml:space="preserve">La Roue, </w:t>
      </w:r>
      <w:r>
        <w:rPr>
          <w:rFonts w:ascii="Times New Roman" w:eastAsia="TimesNewRomanPSMT" w:hAnsi="Times New Roman" w:cs="TimesNewRomanPSMT"/>
          <w:color w:val="000000"/>
        </w:rPr>
        <w:t xml:space="preserve">qui raconte les changements de métiers incessants d’un homme,  qui  qui finit par aller à l’Université et émigrer.  En 1950, Janovskij émigre aux Etats-Unis. Il propose alors à Kuhfelle de traduire son autre roman,  </w:t>
      </w:r>
      <w:r>
        <w:rPr>
          <w:rFonts w:ascii="Times New Roman" w:eastAsia="TimesNewRomanPS-ItalicMT" w:hAnsi="Times New Roman" w:cs="TimesNewRomanPS-ItalicMT"/>
          <w:i/>
          <w:iCs/>
          <w:color w:val="000000"/>
        </w:rPr>
        <w:t xml:space="preserve">L’expérience américaine. </w:t>
      </w:r>
      <w:r>
        <w:rPr>
          <w:rFonts w:ascii="Times New Roman" w:eastAsia="TimesNewRomanPSMT" w:hAnsi="Times New Roman" w:cs="TimesNewRomanPSMT"/>
          <w:color w:val="000000"/>
        </w:rPr>
        <w:t xml:space="preserve">Le traducteur apprécie son regard sur la société d’après-guerre et le pessimisme général de l’œuvre, même si Janovskij redoutait les critiques lui reprochant son anti-américanisme. Cette crainte reflète l’état d’esprit de cet écrivain, qui considérait qu’il n’avait pas de public, ce qui en fait sans doute l’écrivain le plus solitaire de l’émigration. En effet, ce dernier fait face aux problèmes de publication. Dans ses correspondances, on retrouve les lettres de Kuhfelle l’informant de la situation défavorable du marché italien. La traduction de </w:t>
      </w:r>
      <w:r>
        <w:rPr>
          <w:rFonts w:ascii="Times New Roman" w:eastAsia="TimesNewRomanPS-ItalicMT" w:hAnsi="Times New Roman" w:cs="TimesNewRomanPS-ItalicMT"/>
          <w:i/>
          <w:iCs/>
          <w:color w:val="000000"/>
        </w:rPr>
        <w:t>L’Expérience américaine</w:t>
      </w:r>
      <w:r>
        <w:rPr>
          <w:rFonts w:ascii="Times New Roman" w:eastAsia="TimesNewRomanPSMT" w:hAnsi="Times New Roman" w:cs="TimesNewRomanPSMT"/>
          <w:color w:val="000000"/>
        </w:rPr>
        <w:t xml:space="preserve"> est achevée en 1950, mais le roman ne sera publié en Italie cinq ans plus tard et seulement trente deux ans après pour la première et la dernière fois en Russie.</w:t>
      </w:r>
    </w:p>
    <w:p w14:paraId="05444BAC" w14:textId="77777777" w:rsidR="00E028C3" w:rsidRDefault="00000000">
      <w:pPr>
        <w:pStyle w:val="Standard"/>
        <w:widowControl/>
        <w:spacing w:after="140" w:line="360" w:lineRule="auto"/>
        <w:rPr>
          <w:rFonts w:ascii="Times New Roman" w:hAnsi="Times New Roman"/>
          <w:color w:val="000000"/>
        </w:rPr>
      </w:pPr>
      <w:r>
        <w:rPr>
          <w:rFonts w:ascii="Times New Roman" w:eastAsia="TimesNewRomanPSMT" w:hAnsi="Times New Roman" w:cs="TimesNewRomanPSMT"/>
          <w:color w:val="000000"/>
        </w:rPr>
        <w:t xml:space="preserve">Dans la continuité de l’exposé précédent, </w:t>
      </w:r>
      <w:r>
        <w:rPr>
          <w:rFonts w:ascii="Times New Roman" w:eastAsia="TimesNewRomanPS-BoldMT" w:hAnsi="Times New Roman" w:cs="TimesNewRomanPS-BoldMT"/>
          <w:b/>
          <w:bCs/>
          <w:color w:val="000000"/>
        </w:rPr>
        <w:t>Patryk Witczak</w:t>
      </w:r>
      <w:r>
        <w:rPr>
          <w:rFonts w:ascii="Times New Roman" w:eastAsia="TimesNewRomanPSMT" w:hAnsi="Times New Roman" w:cs="TimesNewRomanPSMT"/>
          <w:color w:val="000000"/>
        </w:rPr>
        <w:t>, de l’Université polonaise Kazimira Wielkiego, explore la question de l’identité de l’émigrant dans la prose de Vasilij Janovskij dans le contexte du motif de la maladie.  Il existe des liens très étroits entre la médecine et la littérature. Il s’agit d’une longue tradition, mais qui s’est surtout développée durant la deuxième moitié du XXème siècle (Anton Čexov, Mixail Bulgakov). En ce qui concerne Janovskij, on retrouve des héros-médecins dans «  Rasskaz medica » (</w:t>
      </w:r>
      <w:r>
        <w:rPr>
          <w:rFonts w:ascii="Times New Roman" w:eastAsia="TimesNewRomanPS-ItalicMT" w:hAnsi="Times New Roman" w:cs="TimesNewRomanPS-ItalicMT"/>
          <w:i/>
          <w:iCs/>
          <w:color w:val="000000"/>
        </w:rPr>
        <w:t xml:space="preserve">Рассказ медика / Le récit d’un médecin, </w:t>
      </w:r>
      <w:r>
        <w:rPr>
          <w:rFonts w:ascii="Times New Roman" w:eastAsia="TimesNewRomanPSMT" w:hAnsi="Times New Roman" w:cs="TimesNewRomanPSMT"/>
          <w:color w:val="000000"/>
        </w:rPr>
        <w:t>1933) et « Portativnoe bessmertie » (</w:t>
      </w:r>
      <w:r>
        <w:rPr>
          <w:rFonts w:ascii="Times New Roman" w:eastAsia="TimesNewRomanPS-ItalicMT" w:hAnsi="Times New Roman" w:cs="TimesNewRomanPS-ItalicMT"/>
          <w:i/>
          <w:iCs/>
          <w:color w:val="000000"/>
        </w:rPr>
        <w:t>Портативное бессмертие / L’immortalité portative</w:t>
      </w:r>
      <w:r>
        <w:rPr>
          <w:rFonts w:ascii="Times New Roman" w:eastAsia="TimesNewRomanPSMT" w:hAnsi="Times New Roman" w:cs="TimesNewRomanPSMT"/>
          <w:color w:val="000000"/>
        </w:rPr>
        <w:t>, 1957), l’espace de l’hôpital dans « Rozovye deti » (</w:t>
      </w:r>
      <w:r>
        <w:rPr>
          <w:rFonts w:ascii="Times New Roman" w:eastAsia="TimesNewRomanPS-ItalicMT" w:hAnsi="Times New Roman" w:cs="TimesNewRomanPS-ItalicMT"/>
          <w:i/>
          <w:iCs/>
          <w:color w:val="000000"/>
        </w:rPr>
        <w:t>Розовые дети / Les enfants roses</w:t>
      </w:r>
      <w:r>
        <w:rPr>
          <w:rFonts w:ascii="Times New Roman" w:eastAsia="TimesNewRomanPSMT" w:hAnsi="Times New Roman" w:cs="TimesNewRomanPSMT"/>
          <w:color w:val="000000"/>
        </w:rPr>
        <w:t>, 1936) et les figures de maladies dans « Bolezn’ » (</w:t>
      </w:r>
      <w:r>
        <w:rPr>
          <w:rFonts w:ascii="Times New Roman" w:eastAsia="TimesNewRomanPS-ItalicMT" w:hAnsi="Times New Roman" w:cs="TimesNewRomanPS-ItalicMT"/>
          <w:i/>
          <w:iCs/>
          <w:color w:val="000000"/>
        </w:rPr>
        <w:t>Болезнь / La Maladie</w:t>
      </w:r>
      <w:r>
        <w:rPr>
          <w:rFonts w:ascii="Times New Roman" w:eastAsia="TimesNewRomanPSMT" w:hAnsi="Times New Roman" w:cs="TimesNewRomanPSMT"/>
          <w:color w:val="000000"/>
        </w:rPr>
        <w:t xml:space="preserve">, 1957). Cette présentation traite des deux œuvres  américains de Janovskij, le roman </w:t>
      </w:r>
      <w:r>
        <w:rPr>
          <w:rFonts w:ascii="Times New Roman" w:eastAsia="TimesNewRomanPS-ItalicMT" w:hAnsi="Times New Roman" w:cs="TimesNewRomanPS-ItalicMT"/>
          <w:i/>
          <w:iCs/>
          <w:color w:val="000000"/>
        </w:rPr>
        <w:t>L’expérience américaine (Amerikanskij opyt / Американский опыт)</w:t>
      </w:r>
      <w:r>
        <w:rPr>
          <w:rFonts w:ascii="Times New Roman" w:eastAsia="TimesNewRomanPSMT" w:hAnsi="Times New Roman" w:cs="TimesNewRomanPSMT"/>
          <w:color w:val="000000"/>
        </w:rPr>
        <w:t xml:space="preserve"> et la nouvelle “</w:t>
      </w:r>
      <w:r>
        <w:rPr>
          <w:rFonts w:ascii="Times New Roman" w:eastAsia="TimesNewRomanPS-ItalicMT" w:hAnsi="Times New Roman" w:cs="TimesNewRomanPS-ItalicMT"/>
          <w:i/>
          <w:iCs/>
          <w:color w:val="000000"/>
        </w:rPr>
        <w:t>La mâchoire de l’émigrant</w:t>
      </w:r>
      <w:r>
        <w:rPr>
          <w:rFonts w:ascii="Times New Roman" w:eastAsia="TimesNewRomanPSMT" w:hAnsi="Times New Roman" w:cs="TimesNewRomanPSMT"/>
          <w:color w:val="000000"/>
        </w:rPr>
        <w:t>” (“Čeljust’ èmigranta”/“Челюсть эмигранта”).  </w:t>
      </w:r>
      <w:r>
        <w:rPr>
          <w:rFonts w:ascii="Times New Roman" w:eastAsia="TimesNewRomanPS-ItalicMT" w:hAnsi="Times New Roman" w:cs="TimesNewRomanPS-ItalicMT"/>
          <w:i/>
          <w:iCs/>
          <w:color w:val="000000"/>
        </w:rPr>
        <w:t>L’expérience américaine</w:t>
      </w:r>
      <w:r>
        <w:rPr>
          <w:rFonts w:ascii="Times New Roman" w:eastAsia="TimesNewRomanPSMT" w:hAnsi="Times New Roman" w:cs="TimesNewRomanPSMT"/>
          <w:color w:val="000000"/>
        </w:rPr>
        <w:t xml:space="preserve"> (1946-1948) est l’histoire d’un homme blanc, Bob, qui se réveille un beau matin avec la peau noire. Cette thématique est une nouveauté, portant en elle l’esprit du surréalisme. Mais elle rappelle également </w:t>
      </w:r>
      <w:r>
        <w:rPr>
          <w:rFonts w:ascii="Times New Roman" w:eastAsia="TimesNewRomanPS-ItalicMT" w:hAnsi="Times New Roman" w:cs="TimesNewRomanPS-ItalicMT"/>
          <w:i/>
          <w:iCs/>
          <w:color w:val="000000"/>
        </w:rPr>
        <w:t>Les Réminiscences</w:t>
      </w:r>
      <w:r>
        <w:rPr>
          <w:rFonts w:ascii="Times New Roman" w:eastAsia="TimesNewRomanPSMT" w:hAnsi="Times New Roman" w:cs="TimesNewRomanPSMT"/>
          <w:color w:val="000000"/>
        </w:rPr>
        <w:t xml:space="preserve"> de F. Kafka et </w:t>
      </w:r>
      <w:r>
        <w:rPr>
          <w:rFonts w:ascii="Times New Roman" w:eastAsia="TimesNewRomanPS-ItalicMT" w:hAnsi="Times New Roman" w:cs="TimesNewRomanPS-ItalicMT"/>
          <w:i/>
          <w:iCs/>
          <w:color w:val="000000"/>
        </w:rPr>
        <w:t>Le nez</w:t>
      </w:r>
      <w:r>
        <w:rPr>
          <w:rFonts w:ascii="Times New Roman" w:eastAsia="TimesNewRomanPSMT" w:hAnsi="Times New Roman" w:cs="TimesNewRomanPSMT"/>
          <w:color w:val="000000"/>
        </w:rPr>
        <w:t xml:space="preserve"> de N. Gogol. Janovskij n’a pas pris pour le héros principal un émigrant typique de l’URSS, cependant il est possible de s’y identifier. Les thèmes de ségrégation raciale et du racisme traversent le roman, notamment l’épisode chez le docteur Porkine, qui n’arrive pas à trouver la fiche médicale du patient à cause du classement différent des dossiers médicaux pour les personnes blanches et les personnes noires. La métamorphose du héros principal apparaît comme une maladie, ce qui pose les bases des réflexions sur la nature de l’homme et de ce qui exerce l’influence sur son identité. Le héros ne souffre pas à cause de sa couleur de peau. Il souffre car il a cessé d’être lui-même. La métamorphose est un signe de Dieu, qui tente de dire quelque chose à son héros. A l’instar des images bibliques, le héros doit  revenir à son état primaire en « éclairant », au sens que les Lumières donnait à ce terme “просветить” (prosvetit’) la société.           </w:t>
      </w:r>
      <w:r>
        <w:rPr>
          <w:rFonts w:ascii="Times New Roman" w:eastAsia="TimesNewRomanPSMT" w:hAnsi="Times New Roman" w:cs="TimesNewRomanPSMT"/>
          <w:color w:val="000000"/>
        </w:rPr>
        <w:br/>
      </w:r>
      <w:r>
        <w:rPr>
          <w:rFonts w:ascii="Times New Roman" w:eastAsia="TimesNewRomanPSMT" w:hAnsi="Times New Roman" w:cs="TimesNewRomanPSMT"/>
          <w:color w:val="000000"/>
        </w:rPr>
        <w:lastRenderedPageBreak/>
        <w:t>A l’image de</w:t>
      </w:r>
      <w:r>
        <w:rPr>
          <w:rFonts w:ascii="Times New Roman" w:eastAsia="TimesNewRomanPS-ItalicMT" w:hAnsi="Times New Roman" w:cs="TimesNewRomanPS-ItalicMT"/>
          <w:i/>
          <w:iCs/>
          <w:color w:val="000000"/>
        </w:rPr>
        <w:t xml:space="preserve"> L’Expérience américaine, La mâchoire de l’émigrant</w:t>
      </w:r>
      <w:r>
        <w:rPr>
          <w:rFonts w:ascii="Times New Roman" w:eastAsia="TimesNewRomanPSMT" w:hAnsi="Times New Roman" w:cs="TimesNewRomanPSMT"/>
          <w:color w:val="000000"/>
        </w:rPr>
        <w:t xml:space="preserve"> (1957) est également une nouvelle originale et novatrice, relatant les visites de l’émigrant russe, Bogdan chez le dentiste. Les dents y apparaissent comme porteuses d’informations, puisqu’à mesure qu’une dent lui est arrachée, un souvenir du passé s’en va aussi. A travers le héros, il est aisé d'apercevoir le point de vue de Janovskij lui-même: les émigrants russes aux Etats-Unis ne vivent et ne conservent leur identité qu’à travers leur passé. La nouvelle contient également des réflexions philosophiques, basées sur le sentiment religieux. En Amérique, chaque émigrant se meurt petit à petit. La fin du roman est tout à fait inattendue: le héros se réveille sur un banc en centre ville et trouve un sens et la vérité à son existence dans les choses qui l’entourent comme le soleil ou les arbres. A son réveil, il se sent léger comme s’il avait rajeuni de quelques années. Ce roman rappelle l</w:t>
      </w:r>
      <w:r>
        <w:rPr>
          <w:rFonts w:ascii="Times New Roman" w:eastAsia="TimesNewRomanPS-ItalicMT" w:hAnsi="Times New Roman" w:cs="TimesNewRomanPS-ItalicMT"/>
          <w:i/>
          <w:iCs/>
          <w:color w:val="000000"/>
        </w:rPr>
        <w:t xml:space="preserve">’Expérience américaine </w:t>
      </w:r>
      <w:r>
        <w:rPr>
          <w:rFonts w:ascii="Times New Roman" w:eastAsia="TimesNewRomanPSMT" w:hAnsi="Times New Roman" w:cs="TimesNewRomanPSMT"/>
          <w:color w:val="000000"/>
        </w:rPr>
        <w:t xml:space="preserve">par son schéma : la complexité du destin de l’homme, qui reçoit un signe de Dieu lui révélant la Vérité ultime, ce qui l’aide à ressusciter. </w:t>
      </w:r>
      <w:r>
        <w:rPr>
          <w:rFonts w:ascii="Times New Roman" w:eastAsia="TimesNewRomanPSMT" w:hAnsi="Times New Roman" w:cs="TimesNewRomanPSMT"/>
          <w:color w:val="000000"/>
        </w:rPr>
        <w:br/>
        <w:t>Dans les discussions autour de cette présentation, Mme Armaganian-Le Vu rappelle qu’on retrouve des épisodes similaires de métaphore du dentier, la menace de la perte de l’identité, celle de la perte de la langue maternelle (</w:t>
      </w:r>
      <w:r>
        <w:rPr>
          <w:rFonts w:ascii="Times New Roman" w:eastAsia="TimesNewRomanPS-ItalicMT" w:hAnsi="Times New Roman" w:cs="TimesNewRomanPS-ItalicMT"/>
          <w:i/>
          <w:iCs/>
          <w:color w:val="000000"/>
        </w:rPr>
        <w:t>tongue)</w:t>
      </w:r>
      <w:r>
        <w:rPr>
          <w:rFonts w:ascii="Times New Roman" w:eastAsia="TimesNewRomanPSMT" w:hAnsi="Times New Roman" w:cs="TimesNewRomanPSMT"/>
          <w:color w:val="000000"/>
        </w:rPr>
        <w:t xml:space="preserve"> dans le roman américain </w:t>
      </w:r>
      <w:r>
        <w:rPr>
          <w:rFonts w:ascii="Times New Roman" w:eastAsia="TimesNewRomanPS-ItalicMT" w:hAnsi="Times New Roman" w:cs="TimesNewRomanPS-ItalicMT"/>
          <w:i/>
          <w:iCs/>
          <w:color w:val="000000"/>
        </w:rPr>
        <w:t>Pnine</w:t>
      </w:r>
      <w:r>
        <w:rPr>
          <w:rFonts w:ascii="Times New Roman" w:eastAsia="TimesNewRomanPSMT" w:hAnsi="Times New Roman" w:cs="TimesNewRomanPSMT"/>
          <w:color w:val="000000"/>
        </w:rPr>
        <w:t xml:space="preserve"> de Vladimir Nabokov.  Des interrogations subsistent cependant au sujet de la primauté : est-ce Vladimir Nabokov qui s’est inspiré de V. Janovskij ou est-ce l’inverse ?</w:t>
      </w:r>
    </w:p>
    <w:p w14:paraId="2817B344" w14:textId="77777777" w:rsidR="00E028C3" w:rsidRDefault="00E028C3">
      <w:pPr>
        <w:pStyle w:val="Standard"/>
        <w:widowControl/>
        <w:spacing w:after="140" w:line="360" w:lineRule="auto"/>
        <w:jc w:val="both"/>
        <w:rPr>
          <w:rFonts w:ascii="Times New Roman" w:hAnsi="Times New Roman"/>
          <w:color w:val="000000"/>
        </w:rPr>
      </w:pPr>
    </w:p>
    <w:p w14:paraId="304510DE" w14:textId="77777777" w:rsidR="00E028C3" w:rsidRDefault="00000000">
      <w:pPr>
        <w:pStyle w:val="Standard"/>
        <w:widowControl/>
        <w:spacing w:after="140" w:line="360" w:lineRule="auto"/>
        <w:rPr>
          <w:rFonts w:ascii="Times New Roman" w:hAnsi="Times New Roman"/>
          <w:color w:val="000000"/>
        </w:rPr>
      </w:pPr>
      <w:r>
        <w:rPr>
          <w:rFonts w:ascii="Times New Roman" w:eastAsia="TimesNewRomanPSMT" w:hAnsi="Times New Roman" w:cs="TimesNewRomanPSMT"/>
          <w:color w:val="000000"/>
        </w:rPr>
        <w:t xml:space="preserve">La dernière intervention en russe est opérée par </w:t>
      </w:r>
      <w:r>
        <w:rPr>
          <w:rFonts w:ascii="Times New Roman" w:eastAsia="TimesNewRomanPS-BoldMT" w:hAnsi="Times New Roman" w:cs="TimesNewRomanPS-BoldMT"/>
          <w:b/>
          <w:bCs/>
          <w:color w:val="000000"/>
        </w:rPr>
        <w:t>Iwona Anna Ndiaye</w:t>
      </w:r>
      <w:r>
        <w:rPr>
          <w:rFonts w:ascii="Times New Roman" w:eastAsia="TimesNewRomanPSMT" w:hAnsi="Times New Roman" w:cs="TimesNewRomanPSMT"/>
          <w:color w:val="000000"/>
        </w:rPr>
        <w:t xml:space="preserve">, Professeure à l’Université d’ </w:t>
      </w:r>
      <w:r>
        <w:rPr>
          <w:rFonts w:ascii="Times New Roman" w:eastAsia="TimesNewRomanPSMT" w:hAnsi="Times New Roman" w:cs="TimesNewRomanPSMT"/>
          <w:color w:val="000000"/>
          <w:shd w:val="clear" w:color="auto" w:fill="FFFFFF"/>
        </w:rPr>
        <w:t xml:space="preserve">Olsztyn, qui a pour mission d’analyser les représentations de l’Afrique dans la revue illustrée « Illjustrirovannaja Rossija » de </w:t>
      </w:r>
      <w:r>
        <w:rPr>
          <w:rFonts w:ascii="Times New Roman" w:eastAsia="TimesNewRomanPSMT" w:hAnsi="Times New Roman" w:cs="TimesNewRomanPSMT"/>
          <w:color w:val="000000"/>
        </w:rPr>
        <w:t xml:space="preserve">1924 à 1939,  dont le tirage est hebdomadaire. Le rédacteur et le fondateur de la revue était le célèbre journaliste-émigrant russe, M. Mironov, qui donne les principales lignes directrices de la revue jusqu’en 1931. Beaucoup de rubriques s’adressaient aux lecteurs ordinaires, tels que « Ženskaja stranička » (“Женская страница” / La page dédiées aux femmes), « Govorjat, čto » (“Говорят что / On dit que) , « Po belomu cvetu » (“По белому свету” / A travers le monde), « Parižskie mody » (“Парижские моды” / Les modes parisiennes), etc. La revue doit son succès à son esprit sans parti pris. Elle jouait le rôle de chronique, en informant les gens de ce qu’il s’était produit dans le monde. Les actualités politiques apparaissent sous forme brève, notamment  concernant les visites officielles des personnalités célèbres en Europe et leur participation aux fêtes africaines.   </w:t>
      </w:r>
      <w:r>
        <w:rPr>
          <w:rFonts w:ascii="Times New Roman" w:eastAsia="TimesNewRomanPSMT" w:hAnsi="Times New Roman" w:cs="TimesNewRomanPSMT"/>
          <w:color w:val="000000"/>
        </w:rPr>
        <w:br/>
        <w:t xml:space="preserve">Cette recherche a pour but de répertorier toutes publications sur la thématique africaine dans la revue, de déterminer sa place par rapport aux autres actualités, élaborer un système d’unités sémantiques pour les études postérieures, de déterminer les catégories clés, de mener une analyse sur la base des matériaux trouvées et d’examiner la dynamique des thèmes à part de 1924 à 1939. </w:t>
      </w:r>
      <w:r>
        <w:rPr>
          <w:rFonts w:ascii="Times New Roman" w:eastAsia="TimesNewRomanPSMT" w:hAnsi="Times New Roman" w:cs="TimesNewRomanPSMT"/>
          <w:color w:val="000000"/>
        </w:rPr>
        <w:lastRenderedPageBreak/>
        <w:t>Les informations récoltées sont issues des archives de la revue en ligne, comptant 748 numéros.  La thématique de l’Afrique figurait dans les rubriques permanentes comme « Xronika mira » (“Хроника мира” / La chronique du monde), « Russkie v emigracii » (“Русские в эмиграции” / Les Russes dans émigration), « Bumerang » (“Бумеранг” / Le boomerang), etc. La rubrique « S Kodakom po belomu svetu » (“С Кодаком по белому свету” / Avec l’appareil photo Kodak à travers le monde) revient de façon plus récurrente. Des photos accompagnées d’un bref commentaire y figurent. Cependant les tribues africaines sont présentées de façon uniforme, sans distinction, voire sans nom.  </w:t>
      </w:r>
      <w:r>
        <w:rPr>
          <w:rFonts w:ascii="Times New Roman" w:eastAsia="TimesNewRomanPSMT" w:hAnsi="Times New Roman" w:cs="TimesNewRomanPSMT"/>
          <w:color w:val="000000"/>
        </w:rPr>
        <w:br/>
        <w:t>Des messages courts, ainsi que des notes accompagnées dans la plupart des cas des images prédominent. Ce sont les lecteurs, qui jouent le rôle des correspondants pour la revue. Plusieurs thématiques reviennent de façon systématique, à savoir la politique, la société, l’émigration russe, la nature, la culture, la littérature et l’humour. Cependant durant certaines années charnières, liées à l’augmentation des tensions poltiques, certaines thématiques connaissent un pic de publications. Ainsi, des 1924 à 1926, puis de 1935 à 1936, les mots comme « la guerre » ou « un conflit armé » sont les plus fréquents.  La dernière publication sur l’Afrique  remonte au 14 juillet 1939, le jour de la fête nationale, à laquelle les tirailleurs sénégalais ont pris une part active.</w:t>
      </w:r>
    </w:p>
    <w:p w14:paraId="64A4F454" w14:textId="77777777" w:rsidR="00E028C3" w:rsidRDefault="00E028C3">
      <w:pPr>
        <w:pStyle w:val="Standard"/>
        <w:widowControl/>
        <w:spacing w:after="140" w:line="360" w:lineRule="auto"/>
        <w:jc w:val="both"/>
        <w:rPr>
          <w:rFonts w:ascii="Times New Roman" w:hAnsi="Times New Roman"/>
          <w:color w:val="000000"/>
        </w:rPr>
      </w:pPr>
    </w:p>
    <w:p w14:paraId="273E38FF" w14:textId="77777777" w:rsidR="00E028C3" w:rsidRDefault="00E028C3">
      <w:pPr>
        <w:pStyle w:val="Standard"/>
        <w:widowControl/>
        <w:spacing w:after="140" w:line="360" w:lineRule="auto"/>
        <w:jc w:val="both"/>
        <w:rPr>
          <w:rFonts w:ascii="Times New Roman" w:hAnsi="Times New Roman"/>
          <w:color w:val="000000"/>
        </w:rPr>
      </w:pPr>
    </w:p>
    <w:p w14:paraId="191D597E" w14:textId="77777777" w:rsidR="00E028C3" w:rsidRDefault="00000000">
      <w:pPr>
        <w:pStyle w:val="Standard"/>
        <w:widowControl/>
        <w:spacing w:after="140" w:line="360" w:lineRule="auto"/>
        <w:jc w:val="both"/>
        <w:rPr>
          <w:rFonts w:ascii="Times New Roman" w:eastAsia="TimesNewRomanPSMT" w:hAnsi="Times New Roman" w:cs="TimesNewRomanPSMT"/>
          <w:color w:val="000000"/>
        </w:rPr>
      </w:pPr>
      <w:r>
        <w:rPr>
          <w:rFonts w:ascii="Times New Roman" w:eastAsia="TimesNewRomanPSMT" w:hAnsi="Times New Roman" w:cs="TimesNewRomanPSMT"/>
          <w:color w:val="000000"/>
        </w:rPr>
        <w:t>  </w:t>
      </w:r>
    </w:p>
    <w:p w14:paraId="15FEFBDC" w14:textId="77777777" w:rsidR="00E028C3" w:rsidRDefault="00000000">
      <w:pPr>
        <w:pStyle w:val="Standard"/>
        <w:widowControl/>
        <w:spacing w:after="140" w:line="360" w:lineRule="auto"/>
        <w:jc w:val="both"/>
        <w:rPr>
          <w:rFonts w:ascii="Times New Roman" w:eastAsia="TimesNewRomanPSMT" w:hAnsi="Times New Roman" w:cs="TimesNewRomanPSMT"/>
          <w:color w:val="000000"/>
        </w:rPr>
      </w:pPr>
      <w:r>
        <w:rPr>
          <w:rFonts w:ascii="Times New Roman" w:eastAsia="TimesNewRomanPSMT" w:hAnsi="Times New Roman" w:cs="TimesNewRomanPSMT"/>
          <w:color w:val="000000"/>
        </w:rPr>
        <w:t>         </w:t>
      </w:r>
    </w:p>
    <w:p w14:paraId="7210EC87" w14:textId="77777777" w:rsidR="00E028C3" w:rsidRDefault="00000000">
      <w:pPr>
        <w:pStyle w:val="Standard"/>
        <w:widowControl/>
        <w:spacing w:after="140" w:line="360" w:lineRule="auto"/>
        <w:jc w:val="both"/>
        <w:rPr>
          <w:rFonts w:ascii="Times New Roman" w:eastAsia="TimesNewRomanPSMT" w:hAnsi="Times New Roman" w:cs="TimesNewRomanPSMT"/>
          <w:color w:val="000000"/>
        </w:rPr>
      </w:pPr>
      <w:r>
        <w:rPr>
          <w:rFonts w:ascii="Times New Roman" w:eastAsia="TimesNewRomanPSMT" w:hAnsi="Times New Roman" w:cs="TimesNewRomanPSMT"/>
          <w:color w:val="000000"/>
        </w:rPr>
        <w:t>    </w:t>
      </w:r>
    </w:p>
    <w:p w14:paraId="0E4EED6F" w14:textId="77777777" w:rsidR="00E028C3" w:rsidRDefault="00E028C3">
      <w:pPr>
        <w:pStyle w:val="Standard"/>
        <w:widowControl/>
        <w:spacing w:after="140" w:line="360" w:lineRule="auto"/>
        <w:jc w:val="both"/>
        <w:rPr>
          <w:rFonts w:ascii="Times New Roman" w:hAnsi="Times New Roman"/>
          <w:color w:val="000000"/>
        </w:rPr>
      </w:pPr>
    </w:p>
    <w:p w14:paraId="04F76E81" w14:textId="77777777" w:rsidR="00E028C3" w:rsidRDefault="00000000">
      <w:pPr>
        <w:pStyle w:val="Standard"/>
        <w:widowControl/>
        <w:spacing w:after="140" w:line="360" w:lineRule="auto"/>
        <w:jc w:val="both"/>
        <w:rPr>
          <w:rFonts w:ascii="Times New Roman" w:eastAsia="TimesNewRomanPSMT" w:hAnsi="Times New Roman" w:cs="TimesNewRomanPSMT"/>
          <w:color w:val="000000"/>
        </w:rPr>
      </w:pPr>
      <w:r>
        <w:rPr>
          <w:rFonts w:ascii="Times New Roman" w:eastAsia="TimesNewRomanPSMT" w:hAnsi="Times New Roman" w:cs="TimesNewRomanPSMT"/>
          <w:color w:val="000000"/>
        </w:rPr>
        <w:t>  </w:t>
      </w:r>
    </w:p>
    <w:p w14:paraId="235700AA" w14:textId="77777777" w:rsidR="00E028C3" w:rsidRDefault="00000000">
      <w:pPr>
        <w:pStyle w:val="Standard"/>
        <w:widowControl/>
        <w:spacing w:after="140" w:line="360" w:lineRule="auto"/>
        <w:jc w:val="both"/>
        <w:rPr>
          <w:rFonts w:ascii="Times New Roman" w:eastAsia="TimesNewRomanPSMT" w:hAnsi="Times New Roman" w:cs="TimesNewRomanPSMT"/>
          <w:color w:val="000000"/>
        </w:rPr>
      </w:pPr>
      <w:r>
        <w:rPr>
          <w:rFonts w:ascii="Times New Roman" w:eastAsia="TimesNewRomanPSMT" w:hAnsi="Times New Roman" w:cs="TimesNewRomanPSMT"/>
          <w:color w:val="000000"/>
        </w:rPr>
        <w:t>  </w:t>
      </w:r>
    </w:p>
    <w:sectPr w:rsidR="00E028C3">
      <w:pgSz w:w="11900" w:h="16840"/>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F778E7" w14:textId="77777777" w:rsidR="00050A3F" w:rsidRDefault="00050A3F">
      <w:r>
        <w:separator/>
      </w:r>
    </w:p>
  </w:endnote>
  <w:endnote w:type="continuationSeparator" w:id="0">
    <w:p w14:paraId="42DB1AF9" w14:textId="77777777" w:rsidR="00050A3F" w:rsidRDefault="00050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altName w:val="Times New Roman"/>
    <w:charset w:val="00"/>
    <w:family w:val="roman"/>
    <w:pitch w:val="variable"/>
  </w:font>
  <w:font w:name="Songti SC">
    <w:charset w:val="00"/>
    <w:family w:val="auto"/>
    <w:pitch w:val="variable"/>
  </w:font>
  <w:font w:name="Arial Unicode MS">
    <w:altName w:val="Arial"/>
    <w:panose1 w:val="020B0604020202020204"/>
    <w:charset w:val="00"/>
    <w:family w:val="auto"/>
    <w:pitch w:val="variable"/>
  </w:font>
  <w:font w:name="Times New Roman">
    <w:panose1 w:val="02020603050405020304"/>
    <w:charset w:val="EE"/>
    <w:family w:val="roman"/>
    <w:pitch w:val="variable"/>
    <w:sig w:usb0="E0002EFF" w:usb1="C000785B" w:usb2="00000009" w:usb3="00000000" w:csb0="000001FF" w:csb1="00000000"/>
  </w:font>
  <w:font w:name="Liberation Sans">
    <w:charset w:val="00"/>
    <w:family w:val="swiss"/>
    <w:pitch w:val="variable"/>
  </w:font>
  <w:font w:name="PingFang SC">
    <w:charset w:val="00"/>
    <w:family w:val="auto"/>
    <w:pitch w:val="variable"/>
  </w:font>
  <w:font w:name="TimesNewRomanPS-BoldMT">
    <w:charset w:val="00"/>
    <w:family w:val="auto"/>
    <w:pitch w:val="default"/>
  </w:font>
  <w:font w:name="TimesNewRomanPSMT">
    <w:charset w:val="00"/>
    <w:family w:val="auto"/>
    <w:pitch w:val="default"/>
  </w:font>
  <w:font w:name="TimesNewRomanPS-ItalicMT">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02EF5D" w14:textId="77777777" w:rsidR="00050A3F" w:rsidRDefault="00050A3F">
      <w:r>
        <w:rPr>
          <w:color w:val="000000"/>
        </w:rPr>
        <w:separator/>
      </w:r>
    </w:p>
  </w:footnote>
  <w:footnote w:type="continuationSeparator" w:id="0">
    <w:p w14:paraId="505C98F6" w14:textId="77777777" w:rsidR="00050A3F" w:rsidRDefault="00050A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E028C3"/>
    <w:rsid w:val="00050A3F"/>
    <w:rsid w:val="006426D5"/>
    <w:rsid w:val="009C0BAA"/>
    <w:rsid w:val="00E028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6D4AD"/>
  <w15:docId w15:val="{3DE53D54-D6EB-47E7-B05B-D9F48F9C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Songti SC" w:hAnsi="Liberation Serif" w:cs="Arial Unicode MS"/>
        <w:kern w:val="3"/>
        <w:sz w:val="24"/>
        <w:szCs w:val="24"/>
        <w:lang w:val="fr-F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PingFang SC" w:hAnsi="Liberation Sans"/>
      <w:sz w:val="28"/>
      <w:szCs w:val="28"/>
    </w:rPr>
  </w:style>
  <w:style w:type="paragraph" w:customStyle="1" w:styleId="Textbody">
    <w:name w:val="Text body"/>
    <w:basedOn w:val="Standard"/>
    <w:pPr>
      <w:spacing w:after="140" w:line="276" w:lineRule="auto"/>
    </w:pPr>
  </w:style>
  <w:style w:type="paragraph" w:styleId="Lista">
    <w:name w:val="List"/>
    <w:basedOn w:val="TextBody0"/>
  </w:style>
  <w:style w:type="paragraph" w:styleId="Legenda">
    <w:name w:val="caption"/>
    <w:basedOn w:val="Standard"/>
  </w:style>
  <w:style w:type="paragraph" w:customStyle="1" w:styleId="Index">
    <w:name w:val="Index"/>
    <w:basedOn w:val="Standard"/>
  </w:style>
  <w:style w:type="paragraph" w:customStyle="1" w:styleId="TextBody0">
    <w:name w:val="Text Body"/>
    <w:basedOn w:val="Standard"/>
  </w:style>
  <w:style w:type="paragraph" w:customStyle="1" w:styleId="TableContents">
    <w:name w:val="Table Contents"/>
    <w:basedOn w:val="TextBody0"/>
  </w:style>
  <w:style w:type="paragraph" w:customStyle="1" w:styleId="TableHeading">
    <w:name w:val="Table Heading"/>
    <w:basedOn w:val="TableContents"/>
  </w:style>
  <w:style w:type="paragraph" w:customStyle="1" w:styleId="HeaderandFooter">
    <w:name w:val="Header and Footer"/>
    <w:basedOn w:val="Standard"/>
    <w:pPr>
      <w:suppressLineNumbers/>
      <w:tabs>
        <w:tab w:val="center" w:pos="4819"/>
        <w:tab w:val="right" w:pos="9638"/>
      </w:tabs>
    </w:pPr>
  </w:style>
  <w:style w:type="paragraph" w:styleId="Nagwek">
    <w:name w:val="header"/>
    <w:basedOn w:val="Standard"/>
  </w:style>
  <w:style w:type="paragraph" w:styleId="Stopka">
    <w:name w:val="footer"/>
    <w:basedOn w:val="Standard"/>
  </w:style>
  <w:style w:type="paragraph" w:customStyle="1" w:styleId="Footnote">
    <w:name w:val="Footnote"/>
    <w:basedOn w:val="Standard"/>
  </w:style>
  <w:style w:type="paragraph" w:customStyle="1" w:styleId="Endnote">
    <w:name w:val="Endnote"/>
    <w:basedOn w:val="Standard"/>
  </w:style>
  <w:style w:type="character" w:customStyle="1" w:styleId="FootnoteSymbol">
    <w:name w:val="Footnote_Symbol"/>
    <w:rPr>
      <w:position w:val="0"/>
      <w:vertAlign w:val="superscript"/>
    </w:rPr>
  </w:style>
  <w:style w:type="character" w:customStyle="1" w:styleId="EndnoteSymbol">
    <w:name w:val="Endnote_Symbol"/>
    <w:rPr>
      <w:position w:val="0"/>
      <w:vertAlign w:val="superscript"/>
    </w:rPr>
  </w:style>
  <w:style w:type="character" w:customStyle="1" w:styleId="Footnoteanchor">
    <w:name w:val="Footnote_anchor"/>
    <w:rPr>
      <w:position w:val="0"/>
      <w:vertAlign w:val="superscript"/>
    </w:rPr>
  </w:style>
  <w:style w:type="character" w:customStyle="1" w:styleId="Endnoteanchor">
    <w:name w:val="Endnote_anchor"/>
    <w:rPr>
      <w:position w:val="0"/>
      <w:vertAlign w:val="superscript"/>
    </w:rPr>
  </w:style>
  <w:style w:type="character" w:customStyle="1" w:styleId="Footnoteanchor0">
    <w:name w:val="Footnote anchor"/>
    <w:rPr>
      <w:position w:val="0"/>
      <w:vertAlign w:val="superscript"/>
    </w:rPr>
  </w:style>
  <w:style w:type="character" w:customStyle="1" w:styleId="Endnoteanchor0">
    <w:name w:val="Endnote anchor"/>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4288</Words>
  <Characters>25731</Characters>
  <Application>Microsoft Office Word</Application>
  <DocSecurity>0</DocSecurity>
  <Lines>214</Lines>
  <Paragraphs>59</Paragraphs>
  <ScaleCrop>false</ScaleCrop>
  <Company/>
  <LinksUpToDate>false</LinksUpToDate>
  <CharactersWithSpaces>29960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Janina Szymańska</cp:lastModifiedBy>
  <cp:revision>2</cp:revision>
  <dcterms:created xsi:type="dcterms:W3CDTF">2024-06-12T09:17:00Z</dcterms:created>
  <dcterms:modified xsi:type="dcterms:W3CDTF">2024-06-12T09:17:00Z</dcterms:modified>
</cp:coreProperties>
</file>